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BD" w:rsidRDefault="004C24A1" w:rsidP="00AE7D95">
      <w:pPr>
        <w:sectPr w:rsidR="005123BD" w:rsidSect="000F3859">
          <w:footerReference w:type="default" r:id="rId8"/>
          <w:pgSz w:w="12240" w:h="15840" w:code="218"/>
          <w:pgMar w:top="720" w:right="1152" w:bottom="720" w:left="1152" w:header="720" w:footer="432" w:gutter="432"/>
          <w:pgNumType w:start="1" w:chapStyle="1"/>
          <w:cols w:space="720"/>
          <w:titlePg/>
          <w:docGrid w:linePitch="360"/>
        </w:sectPr>
      </w:pPr>
      <w:r>
        <w:rPr>
          <w:noProof/>
        </w:rPr>
        <w:pict>
          <v:shapetype id="_x0000_t202" coordsize="21600,21600" o:spt="202" path="m,l,21600r21600,l21600,xe">
            <v:stroke joinstyle="miter"/>
            <v:path gradientshapeok="t" o:connecttype="rect"/>
          </v:shapetype>
          <v:shape id="_x0000_s1026" type="#_x0000_t202" style="position:absolute;margin-left:127.55pt;margin-top:435.65pt;width:342.85pt;height:138.85pt;z-index:251660288;mso-width-relative:margin;mso-height-relative:margin" stroked="f">
            <v:textbox style="mso-next-textbox:#_x0000_s1026">
              <w:txbxContent>
                <w:p w:rsidR="00AE7D95" w:rsidRDefault="00AE7D95" w:rsidP="00AE7D95">
                  <w:pPr>
                    <w:pStyle w:val="NNMainBody"/>
                    <w:jc w:val="right"/>
                    <w:rPr>
                      <w:rFonts w:cs="Arial"/>
                      <w:b/>
                      <w:color w:val="000000" w:themeColor="text1"/>
                      <w:sz w:val="32"/>
                      <w:szCs w:val="32"/>
                    </w:rPr>
                  </w:pPr>
                  <w:r>
                    <w:rPr>
                      <w:rFonts w:cs="Arial"/>
                      <w:b/>
                      <w:color w:val="000000" w:themeColor="text1"/>
                      <w:sz w:val="32"/>
                      <w:szCs w:val="32"/>
                    </w:rPr>
                    <w:t>May</w:t>
                  </w:r>
                  <w:r w:rsidRPr="002026C7">
                    <w:rPr>
                      <w:rFonts w:cs="Arial"/>
                      <w:b/>
                      <w:color w:val="000000" w:themeColor="text1"/>
                      <w:sz w:val="32"/>
                      <w:szCs w:val="32"/>
                    </w:rPr>
                    <w:t xml:space="preserve"> 201</w:t>
                  </w:r>
                  <w:r>
                    <w:rPr>
                      <w:rFonts w:cs="Arial"/>
                      <w:b/>
                      <w:color w:val="000000" w:themeColor="text1"/>
                      <w:sz w:val="32"/>
                      <w:szCs w:val="32"/>
                    </w:rPr>
                    <w:t>1</w:t>
                  </w:r>
                </w:p>
                <w:p w:rsidR="004C24A1" w:rsidRPr="002026C7" w:rsidRDefault="004C24A1" w:rsidP="00AE7D95">
                  <w:pPr>
                    <w:pStyle w:val="NNMainBody"/>
                    <w:jc w:val="right"/>
                    <w:rPr>
                      <w:rFonts w:cs="Arial"/>
                      <w:b/>
                      <w:color w:val="000000" w:themeColor="text1"/>
                      <w:sz w:val="32"/>
                      <w:szCs w:val="32"/>
                    </w:rPr>
                  </w:pPr>
                  <w:r>
                    <w:rPr>
                      <w:rFonts w:cs="Arial"/>
                      <w:b/>
                      <w:color w:val="000000" w:themeColor="text1"/>
                      <w:sz w:val="32"/>
                      <w:szCs w:val="32"/>
                    </w:rPr>
                    <w:t>Jason Schrieber &amp; Joshua Weiland</w:t>
                  </w:r>
                </w:p>
              </w:txbxContent>
            </v:textbox>
          </v:shape>
        </w:pict>
      </w:r>
      <w:r w:rsidR="00174842">
        <w:rPr>
          <w:noProof/>
        </w:rPr>
        <w:drawing>
          <wp:anchor distT="0" distB="0" distL="114300" distR="114300" simplePos="0" relativeHeight="251665408" behindDoc="0" locked="0" layoutInCell="1" allowOverlap="1">
            <wp:simplePos x="0" y="0"/>
            <wp:positionH relativeFrom="margin">
              <wp:posOffset>933450</wp:posOffset>
            </wp:positionH>
            <wp:positionV relativeFrom="margin">
              <wp:posOffset>1547495</wp:posOffset>
            </wp:positionV>
            <wp:extent cx="5043170" cy="3781425"/>
            <wp:effectExtent l="19050" t="0" r="5080" b="0"/>
            <wp:wrapSquare wrapText="bothSides"/>
            <wp:docPr id="15" name="Picture 7" descr="C:\NELSON NYGAARD\Photos\Cambridge\Alewife\IMG_0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ELSON NYGAARD\Photos\Cambridge\Alewife\IMG_0372.JPG"/>
                    <pic:cNvPicPr>
                      <a:picLocks noChangeAspect="1" noChangeArrowheads="1"/>
                    </pic:cNvPicPr>
                  </pic:nvPicPr>
                  <pic:blipFill>
                    <a:blip r:embed="rId9" cstate="print"/>
                    <a:srcRect/>
                    <a:stretch>
                      <a:fillRect/>
                    </a:stretch>
                  </pic:blipFill>
                  <pic:spPr bwMode="auto">
                    <a:xfrm>
                      <a:off x="0" y="0"/>
                      <a:ext cx="5043170" cy="3781425"/>
                    </a:xfrm>
                    <a:prstGeom prst="rect">
                      <a:avLst/>
                    </a:prstGeom>
                    <a:noFill/>
                    <a:ln w="9525">
                      <a:noFill/>
                      <a:miter lim="800000"/>
                      <a:headEnd/>
                      <a:tailEnd/>
                    </a:ln>
                  </pic:spPr>
                </pic:pic>
              </a:graphicData>
            </a:graphic>
          </wp:anchor>
        </w:drawing>
      </w:r>
      <w:r w:rsidR="005123BD">
        <w:rPr>
          <w:noProof/>
        </w:rPr>
        <w:pict>
          <v:shape id="_x0000_s1027" type="#_x0000_t202" style="position:absolute;margin-left:63.85pt;margin-top:67.25pt;width:389.5pt;height:112.7pt;z-index:251661312;mso-position-horizontal-relative:text;mso-position-vertical-relative:text;mso-width-relative:margin;mso-height-relative:margin" filled="f" stroked="f">
            <v:textbox style="mso-next-textbox:#_x0000_s1027">
              <w:txbxContent>
                <w:p w:rsidR="00AE7D95" w:rsidRPr="007943A5" w:rsidRDefault="00AE7D95" w:rsidP="00AE7D95">
                  <w:pPr>
                    <w:pStyle w:val="NNMainBody"/>
                    <w:rPr>
                      <w:rFonts w:ascii="Arial Black" w:hAnsi="Arial Black"/>
                      <w:sz w:val="40"/>
                      <w:szCs w:val="40"/>
                    </w:rPr>
                  </w:pPr>
                  <w:r>
                    <w:rPr>
                      <w:rFonts w:ascii="Arial Black" w:hAnsi="Arial Black"/>
                      <w:sz w:val="40"/>
                      <w:szCs w:val="40"/>
                    </w:rPr>
                    <w:t>Transit’s Enemy: Cheap Parking</w:t>
                  </w:r>
                </w:p>
              </w:txbxContent>
            </v:textbox>
          </v:shape>
        </w:pict>
      </w:r>
      <w:r w:rsidR="005123BD">
        <w:rPr>
          <w:noProof/>
        </w:rPr>
        <w:drawing>
          <wp:anchor distT="0" distB="0" distL="114300" distR="114300" simplePos="0" relativeHeight="251664384" behindDoc="0" locked="0" layoutInCell="1" allowOverlap="1">
            <wp:simplePos x="0" y="0"/>
            <wp:positionH relativeFrom="column">
              <wp:posOffset>5230890</wp:posOffset>
            </wp:positionH>
            <wp:positionV relativeFrom="paragraph">
              <wp:posOffset>7937157</wp:posOffset>
            </wp:positionV>
            <wp:extent cx="672928" cy="955589"/>
            <wp:effectExtent l="19050" t="0" r="0" b="0"/>
            <wp:wrapNone/>
            <wp:docPr id="5" name="Picture 0" descr="NN Logo PMS 307 + 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 Logo PMS 307 + K.emf"/>
                    <pic:cNvPicPr/>
                  </pic:nvPicPr>
                  <pic:blipFill>
                    <a:blip r:embed="rId10"/>
                    <a:stretch>
                      <a:fillRect/>
                    </a:stretch>
                  </pic:blipFill>
                  <pic:spPr>
                    <a:xfrm>
                      <a:off x="0" y="0"/>
                      <a:ext cx="672928" cy="955589"/>
                    </a:xfrm>
                    <a:prstGeom prst="rect">
                      <a:avLst/>
                    </a:prstGeom>
                  </pic:spPr>
                </pic:pic>
              </a:graphicData>
            </a:graphic>
          </wp:anchor>
        </w:drawing>
      </w:r>
      <w:r w:rsidR="005123BD">
        <w:rPr>
          <w:noProof/>
          <w:lang w:eastAsia="zh-TW"/>
        </w:rPr>
        <w:pict>
          <v:shape id="_x0000_s1028" type="#_x0000_t202" style="position:absolute;margin-left:64.45pt;margin-top:43.85pt;width:312.55pt;height:37.25pt;z-index:251662336;mso-height-percent:200;mso-position-horizontal-relative:text;mso-position-vertical-relative:text;mso-height-percent:200;mso-width-relative:margin;mso-height-relative:margin" filled="f" stroked="f">
            <v:textbox style="mso-next-textbox:#_x0000_s1028;mso-fit-shape-to-text:t">
              <w:txbxContent>
                <w:p w:rsidR="00AE7D95" w:rsidRPr="007943A5" w:rsidRDefault="00AE7D95" w:rsidP="00AE7D95">
                  <w:pPr>
                    <w:pStyle w:val="NNMainBody"/>
                    <w:rPr>
                      <w:rFonts w:ascii="Arial Narrow" w:hAnsi="Arial Narrow"/>
                      <w:sz w:val="28"/>
                      <w:szCs w:val="28"/>
                    </w:rPr>
                  </w:pPr>
                  <w:r>
                    <w:rPr>
                      <w:rFonts w:ascii="Arial Narrow" w:hAnsi="Arial Narrow"/>
                      <w:sz w:val="28"/>
                      <w:szCs w:val="28"/>
                    </w:rPr>
                    <w:t>Transport Chicago</w:t>
                  </w:r>
                </w:p>
              </w:txbxContent>
            </v:textbox>
          </v:shape>
        </w:pict>
      </w:r>
    </w:p>
    <w:p w:rsidR="005123BD" w:rsidRPr="00A167EC" w:rsidRDefault="00831A64" w:rsidP="00831A64">
      <w:pPr>
        <w:pStyle w:val="Heading1"/>
        <w:numPr>
          <w:ilvl w:val="0"/>
          <w:numId w:val="0"/>
        </w:numPr>
      </w:pPr>
      <w:bookmarkStart w:id="0" w:name="_Toc286834807"/>
      <w:bookmarkEnd w:id="0"/>
      <w:r>
        <w:lastRenderedPageBreak/>
        <w:t>Transit’s Enemy: Cheap Parking</w:t>
      </w:r>
    </w:p>
    <w:p w:rsidR="005123BD" w:rsidRPr="00A756DC" w:rsidRDefault="005123BD" w:rsidP="005123BD">
      <w:pPr>
        <w:pStyle w:val="NNMainBody"/>
        <w:spacing w:line="276" w:lineRule="auto"/>
        <w:rPr>
          <w:rFonts w:cs="Arial"/>
          <w:szCs w:val="22"/>
        </w:rPr>
      </w:pPr>
    </w:p>
    <w:p w:rsidR="005123BD" w:rsidRPr="00A756DC" w:rsidRDefault="005123BD" w:rsidP="005123BD">
      <w:pPr>
        <w:pStyle w:val="NNMainBody"/>
        <w:spacing w:line="276" w:lineRule="auto"/>
        <w:rPr>
          <w:rFonts w:cs="Arial"/>
          <w:szCs w:val="22"/>
        </w:rPr>
      </w:pPr>
      <w:r w:rsidRPr="00A756DC">
        <w:rPr>
          <w:rFonts w:cs="Arial"/>
          <w:szCs w:val="22"/>
        </w:rPr>
        <w:t xml:space="preserve">In dozens of US cities, billions of dollars of transit investment is underutilized because there is a clear financial disincentive to ride the bus or train: if the parking is free, why would anyone with a car ever board transit? </w:t>
      </w:r>
      <w:r w:rsidR="00831A64">
        <w:rPr>
          <w:rFonts w:cs="Arial"/>
          <w:szCs w:val="22"/>
        </w:rPr>
        <w:t>Large transit s</w:t>
      </w:r>
      <w:r w:rsidRPr="00A756DC">
        <w:rPr>
          <w:rFonts w:cs="Arial"/>
          <w:szCs w:val="22"/>
        </w:rPr>
        <w:t>ystems with good ridership</w:t>
      </w:r>
      <w:r w:rsidR="00831A64">
        <w:rPr>
          <w:rFonts w:cs="Arial"/>
          <w:szCs w:val="22"/>
        </w:rPr>
        <w:t>, such as those in Boston, New York, San Francisco, Washington, and Chicago,</w:t>
      </w:r>
      <w:r w:rsidRPr="00A756DC">
        <w:rPr>
          <w:rFonts w:cs="Arial"/>
          <w:szCs w:val="22"/>
        </w:rPr>
        <w:t xml:space="preserve"> mostly benefit from travelers </w:t>
      </w:r>
      <w:r w:rsidR="00831A64">
        <w:rPr>
          <w:rFonts w:cs="Arial"/>
          <w:szCs w:val="22"/>
        </w:rPr>
        <w:t>seeking</w:t>
      </w:r>
      <w:r w:rsidRPr="00A756DC">
        <w:rPr>
          <w:rFonts w:cs="Arial"/>
          <w:szCs w:val="22"/>
        </w:rPr>
        <w:t xml:space="preserve"> to avoid congestion delays or unable to find </w:t>
      </w:r>
      <w:r w:rsidR="00831A64">
        <w:rPr>
          <w:rFonts w:cs="Arial"/>
          <w:szCs w:val="22"/>
        </w:rPr>
        <w:t>cheap or employer-</w:t>
      </w:r>
      <w:r w:rsidRPr="00A756DC">
        <w:rPr>
          <w:rFonts w:cs="Arial"/>
          <w:szCs w:val="22"/>
        </w:rPr>
        <w:t xml:space="preserve">subsidized parking. This paper explores several basic relationships using national comparative data and research with case studies to demonstrate: </w:t>
      </w:r>
    </w:p>
    <w:p w:rsidR="005123BD" w:rsidRPr="00A756DC" w:rsidRDefault="00831A64" w:rsidP="005123BD">
      <w:pPr>
        <w:pStyle w:val="NNMainBody"/>
        <w:numPr>
          <w:ilvl w:val="0"/>
          <w:numId w:val="37"/>
        </w:numPr>
        <w:spacing w:line="276" w:lineRule="auto"/>
        <w:rPr>
          <w:rFonts w:cs="Arial"/>
          <w:szCs w:val="22"/>
        </w:rPr>
      </w:pPr>
      <w:r>
        <w:rPr>
          <w:rFonts w:cs="Arial"/>
          <w:szCs w:val="22"/>
        </w:rPr>
        <w:t>T</w:t>
      </w:r>
      <w:r w:rsidR="005123BD" w:rsidRPr="00A756DC">
        <w:rPr>
          <w:rFonts w:cs="Arial"/>
          <w:szCs w:val="22"/>
        </w:rPr>
        <w:t xml:space="preserve">here is a direct relationship between parking cost and ridership; </w:t>
      </w:r>
    </w:p>
    <w:p w:rsidR="005123BD" w:rsidRPr="00A756DC" w:rsidRDefault="00831A64" w:rsidP="005123BD">
      <w:pPr>
        <w:pStyle w:val="NNMainBody"/>
        <w:numPr>
          <w:ilvl w:val="0"/>
          <w:numId w:val="37"/>
        </w:numPr>
        <w:spacing w:line="276" w:lineRule="auto"/>
        <w:rPr>
          <w:rFonts w:cs="Arial"/>
          <w:szCs w:val="22"/>
        </w:rPr>
      </w:pPr>
      <w:r>
        <w:rPr>
          <w:rFonts w:cs="Arial"/>
          <w:szCs w:val="22"/>
        </w:rPr>
        <w:t>T</w:t>
      </w:r>
      <w:r w:rsidR="005123BD" w:rsidRPr="00A756DC">
        <w:rPr>
          <w:rFonts w:cs="Arial"/>
          <w:szCs w:val="22"/>
        </w:rPr>
        <w:t xml:space="preserve">he cost of parking is not related to city size and is entirely manipulated by local policies unrelated to market conditions; </w:t>
      </w:r>
    </w:p>
    <w:p w:rsidR="005123BD" w:rsidRPr="00A756DC" w:rsidRDefault="00831A64" w:rsidP="005123BD">
      <w:pPr>
        <w:pStyle w:val="NNMainBody"/>
        <w:numPr>
          <w:ilvl w:val="0"/>
          <w:numId w:val="37"/>
        </w:numPr>
        <w:spacing w:line="276" w:lineRule="auto"/>
        <w:rPr>
          <w:rFonts w:cs="Arial"/>
          <w:szCs w:val="22"/>
        </w:rPr>
      </w:pPr>
      <w:r>
        <w:rPr>
          <w:rFonts w:cs="Arial"/>
          <w:szCs w:val="22"/>
        </w:rPr>
        <w:t>C</w:t>
      </w:r>
      <w:r w:rsidR="005123BD" w:rsidRPr="00A756DC">
        <w:rPr>
          <w:rFonts w:cs="Arial"/>
          <w:szCs w:val="22"/>
        </w:rPr>
        <w:t xml:space="preserve">ertain progressive transit agencies have unlocked the power of revealing the true land and market costs of parking to significantly boost ridership; and </w:t>
      </w:r>
    </w:p>
    <w:p w:rsidR="005123BD" w:rsidRPr="00A756DC" w:rsidRDefault="00831A64" w:rsidP="005123BD">
      <w:pPr>
        <w:pStyle w:val="NNMainBody"/>
        <w:numPr>
          <w:ilvl w:val="0"/>
          <w:numId w:val="37"/>
        </w:numPr>
        <w:spacing w:line="276" w:lineRule="auto"/>
        <w:rPr>
          <w:rFonts w:cs="Arial"/>
          <w:szCs w:val="22"/>
        </w:rPr>
      </w:pPr>
      <w:r>
        <w:rPr>
          <w:rFonts w:cs="Arial"/>
          <w:szCs w:val="22"/>
        </w:rPr>
        <w:t>P</w:t>
      </w:r>
      <w:r w:rsidR="005123BD" w:rsidRPr="00A756DC">
        <w:rPr>
          <w:rFonts w:cs="Arial"/>
          <w:szCs w:val="22"/>
        </w:rPr>
        <w:t>ark and rides should be used sparingly in strategic locations and not wherever space permits.</w:t>
      </w:r>
    </w:p>
    <w:p w:rsidR="005123BD" w:rsidRPr="00A756DC" w:rsidRDefault="005123BD" w:rsidP="005123BD">
      <w:pPr>
        <w:pStyle w:val="NNMainBody"/>
        <w:spacing w:line="276" w:lineRule="auto"/>
        <w:rPr>
          <w:rFonts w:cs="Arial"/>
          <w:szCs w:val="22"/>
        </w:rPr>
      </w:pPr>
      <w:r w:rsidRPr="00A756DC">
        <w:rPr>
          <w:rFonts w:cs="Arial"/>
          <w:szCs w:val="22"/>
        </w:rPr>
        <w:t xml:space="preserve"> Case studies include: </w:t>
      </w:r>
    </w:p>
    <w:p w:rsidR="005123BD" w:rsidRPr="00A756DC" w:rsidRDefault="005123BD" w:rsidP="005123BD">
      <w:pPr>
        <w:pStyle w:val="NNMainBody"/>
        <w:numPr>
          <w:ilvl w:val="0"/>
          <w:numId w:val="38"/>
        </w:numPr>
        <w:spacing w:line="276" w:lineRule="auto"/>
        <w:rPr>
          <w:rFonts w:cs="Arial"/>
          <w:szCs w:val="22"/>
        </w:rPr>
      </w:pPr>
      <w:r w:rsidRPr="00A756DC">
        <w:rPr>
          <w:rFonts w:cs="Arial"/>
          <w:szCs w:val="22"/>
        </w:rPr>
        <w:t xml:space="preserve">BART’s replacement parking methodology that prioritizes TOD over park and ride; </w:t>
      </w:r>
    </w:p>
    <w:p w:rsidR="005123BD" w:rsidRPr="00A756DC" w:rsidRDefault="00831A64" w:rsidP="005123BD">
      <w:pPr>
        <w:pStyle w:val="NNMainBody"/>
        <w:numPr>
          <w:ilvl w:val="0"/>
          <w:numId w:val="38"/>
        </w:numPr>
        <w:spacing w:line="276" w:lineRule="auto"/>
        <w:rPr>
          <w:rFonts w:cs="Arial"/>
          <w:szCs w:val="22"/>
        </w:rPr>
      </w:pPr>
      <w:r>
        <w:rPr>
          <w:rFonts w:cs="Arial"/>
          <w:szCs w:val="22"/>
        </w:rPr>
        <w:t>U</w:t>
      </w:r>
      <w:r w:rsidR="005123BD" w:rsidRPr="00A756DC">
        <w:rPr>
          <w:rFonts w:cs="Arial"/>
          <w:szCs w:val="22"/>
        </w:rPr>
        <w:t xml:space="preserve">tilization results from the MBTA’s commuter rail parking facilities that counters the accepted approach to meeting </w:t>
      </w:r>
      <w:r w:rsidR="005123BD" w:rsidRPr="00831A64">
        <w:rPr>
          <w:rFonts w:cs="Arial"/>
          <w:szCs w:val="22"/>
        </w:rPr>
        <w:t>Big Dig mitigation requirements</w:t>
      </w:r>
      <w:r w:rsidR="005123BD" w:rsidRPr="00A756DC">
        <w:rPr>
          <w:rFonts w:cs="Arial"/>
          <w:szCs w:val="22"/>
        </w:rPr>
        <w:t xml:space="preserve">; </w:t>
      </w:r>
    </w:p>
    <w:p w:rsidR="005123BD" w:rsidRPr="00A756DC" w:rsidRDefault="00174842" w:rsidP="005123BD">
      <w:pPr>
        <w:pStyle w:val="NNMainBody"/>
        <w:numPr>
          <w:ilvl w:val="0"/>
          <w:numId w:val="38"/>
        </w:numPr>
        <w:spacing w:line="276" w:lineRule="auto"/>
        <w:rPr>
          <w:rFonts w:cs="Arial"/>
          <w:szCs w:val="22"/>
        </w:rPr>
      </w:pPr>
      <w:r>
        <w:rPr>
          <w:rFonts w:cs="Arial"/>
          <w:szCs w:val="22"/>
        </w:rPr>
        <w:t>The economic success of limiting commuter parking to protect neighborhoods along the Rosslyn-Ballston corridor in Arlington VA;</w:t>
      </w:r>
    </w:p>
    <w:p w:rsidR="005123BD" w:rsidRPr="00A756DC" w:rsidRDefault="00831A64" w:rsidP="005123BD">
      <w:pPr>
        <w:pStyle w:val="NNMainBody"/>
        <w:numPr>
          <w:ilvl w:val="0"/>
          <w:numId w:val="38"/>
        </w:numPr>
        <w:spacing w:line="276" w:lineRule="auto"/>
        <w:rPr>
          <w:rFonts w:cs="Arial"/>
          <w:szCs w:val="22"/>
        </w:rPr>
      </w:pPr>
      <w:r>
        <w:rPr>
          <w:rFonts w:cs="Arial"/>
          <w:szCs w:val="22"/>
        </w:rPr>
        <w:t>T</w:t>
      </w:r>
      <w:r w:rsidR="005123BD" w:rsidRPr="00A756DC">
        <w:rPr>
          <w:rFonts w:cs="Arial"/>
          <w:szCs w:val="22"/>
        </w:rPr>
        <w:t xml:space="preserve">he creation of new transit service in Ann Arbor through reduced parking requirements. </w:t>
      </w:r>
    </w:p>
    <w:p w:rsidR="005123BD" w:rsidRPr="00A756DC" w:rsidRDefault="005123BD" w:rsidP="005123BD">
      <w:pPr>
        <w:pStyle w:val="NNMainBody"/>
        <w:pBdr>
          <w:bottom w:val="single" w:sz="6" w:space="1" w:color="auto"/>
        </w:pBdr>
        <w:spacing w:line="276" w:lineRule="auto"/>
        <w:rPr>
          <w:rFonts w:cs="Arial"/>
          <w:szCs w:val="22"/>
        </w:rPr>
      </w:pPr>
      <w:r w:rsidRPr="00A756DC">
        <w:rPr>
          <w:rFonts w:cs="Arial"/>
          <w:szCs w:val="22"/>
        </w:rPr>
        <w:t xml:space="preserve">The paper’s recommendations may be very instructive for continuing </w:t>
      </w:r>
      <w:r w:rsidR="0049388D">
        <w:rPr>
          <w:rFonts w:cs="Arial"/>
          <w:szCs w:val="22"/>
        </w:rPr>
        <w:t>transit-oriented investments</w:t>
      </w:r>
      <w:r w:rsidRPr="00A756DC">
        <w:rPr>
          <w:rFonts w:cs="Arial"/>
          <w:szCs w:val="22"/>
        </w:rPr>
        <w:t xml:space="preserve"> in metropolitan Chicago.</w:t>
      </w:r>
    </w:p>
    <w:p w:rsidR="005123BD" w:rsidRPr="00A756DC" w:rsidRDefault="005123BD" w:rsidP="005123BD">
      <w:pPr>
        <w:pStyle w:val="NNMainBody"/>
        <w:spacing w:line="276" w:lineRule="auto"/>
        <w:rPr>
          <w:rFonts w:cs="Arial"/>
          <w:szCs w:val="22"/>
        </w:rPr>
      </w:pPr>
    </w:p>
    <w:p w:rsidR="005123BD" w:rsidRPr="00A756DC" w:rsidRDefault="005123BD" w:rsidP="005123BD">
      <w:pPr>
        <w:pStyle w:val="NNMainBody"/>
        <w:spacing w:line="276" w:lineRule="auto"/>
        <w:rPr>
          <w:rFonts w:cs="Arial"/>
          <w:szCs w:val="22"/>
        </w:rPr>
      </w:pPr>
      <w:r w:rsidRPr="00A756DC">
        <w:rPr>
          <w:rFonts w:cs="Arial"/>
          <w:szCs w:val="22"/>
        </w:rPr>
        <w:t>In 2007, the villages of Park Forest, Matteson and Olympia Fields, IL conducted a study to investigate transit-oriented development (TOD) around the 211</w:t>
      </w:r>
      <w:r w:rsidRPr="00A756DC">
        <w:rPr>
          <w:rFonts w:cs="Arial"/>
          <w:szCs w:val="22"/>
          <w:vertAlign w:val="superscript"/>
        </w:rPr>
        <w:t>th</w:t>
      </w:r>
      <w:r w:rsidRPr="00A756DC">
        <w:rPr>
          <w:rFonts w:cs="Arial"/>
          <w:szCs w:val="22"/>
        </w:rPr>
        <w:t xml:space="preserve"> Street Metra Station</w:t>
      </w:r>
      <w:r>
        <w:rPr>
          <w:rFonts w:cs="Arial"/>
          <w:szCs w:val="22"/>
        </w:rPr>
        <w:t xml:space="preserve"> (HNTB, 2007).</w:t>
      </w:r>
      <w:r w:rsidRPr="00A756DC">
        <w:rPr>
          <w:rFonts w:cs="Arial"/>
          <w:szCs w:val="22"/>
        </w:rPr>
        <w:t xml:space="preserve"> The villages partnered on this study to “establish a welcoming gateway for their communities, create better neighborhood connections to the station, and encourage new mixed-use development within the 211</w:t>
      </w:r>
      <w:r w:rsidRPr="00A756DC">
        <w:rPr>
          <w:rFonts w:cs="Arial"/>
          <w:szCs w:val="22"/>
          <w:vertAlign w:val="superscript"/>
        </w:rPr>
        <w:t>th</w:t>
      </w:r>
      <w:r w:rsidRPr="00A756DC">
        <w:rPr>
          <w:rFonts w:cs="Arial"/>
          <w:szCs w:val="22"/>
        </w:rPr>
        <w:t xml:space="preserve"> Street station area” (</w:t>
      </w:r>
      <w:r>
        <w:rPr>
          <w:rFonts w:cs="Arial"/>
          <w:szCs w:val="22"/>
        </w:rPr>
        <w:t xml:space="preserve">HNTB, 2007, </w:t>
      </w:r>
      <w:r w:rsidRPr="00A756DC">
        <w:rPr>
          <w:rFonts w:cs="Arial"/>
          <w:szCs w:val="22"/>
        </w:rPr>
        <w:t>p. 1-1). As of the writing of the study, the station had two commuter parking lots with a total of 727 spaces (</w:t>
      </w:r>
      <w:r>
        <w:rPr>
          <w:rFonts w:cs="Arial"/>
          <w:szCs w:val="22"/>
        </w:rPr>
        <w:t xml:space="preserve">HNTB, 2007, </w:t>
      </w:r>
      <w:r w:rsidRPr="00A756DC">
        <w:rPr>
          <w:rFonts w:cs="Arial"/>
          <w:szCs w:val="22"/>
        </w:rPr>
        <w:t>p. 3-8), at 90% utilization (</w:t>
      </w:r>
      <w:r>
        <w:rPr>
          <w:rFonts w:cs="Arial"/>
          <w:szCs w:val="22"/>
        </w:rPr>
        <w:t xml:space="preserve">HNTB, 2007, </w:t>
      </w:r>
      <w:r w:rsidRPr="00A756DC">
        <w:rPr>
          <w:rFonts w:cs="Arial"/>
          <w:szCs w:val="22"/>
        </w:rPr>
        <w:t>p. 5-2); Metra estimates that 500-600 new parking spaces will be needed by 2030 (</w:t>
      </w:r>
      <w:r>
        <w:rPr>
          <w:rFonts w:cs="Arial"/>
          <w:szCs w:val="22"/>
        </w:rPr>
        <w:t xml:space="preserve">HNTB, 2007, </w:t>
      </w:r>
      <w:r w:rsidR="0049388D">
        <w:rPr>
          <w:rFonts w:cs="Arial"/>
          <w:szCs w:val="22"/>
        </w:rPr>
        <w:t>p. 3-8).</w:t>
      </w:r>
      <w:r w:rsidRPr="00A756DC">
        <w:rPr>
          <w:rFonts w:cs="Arial"/>
          <w:szCs w:val="22"/>
        </w:rPr>
        <w:t xml:space="preserve"> The long-term recommendations include 1,373 commuter parking spaces in two parking garages; this is in addition to non-commuter spaces, and “should be designed to allow for additional levels of parking to be added as demand and funding warrant” (</w:t>
      </w:r>
      <w:r>
        <w:rPr>
          <w:rFonts w:cs="Arial"/>
          <w:szCs w:val="22"/>
        </w:rPr>
        <w:t xml:space="preserve">HNTB, 2007, </w:t>
      </w:r>
      <w:r w:rsidRPr="00A756DC">
        <w:rPr>
          <w:rFonts w:cs="Arial"/>
          <w:szCs w:val="22"/>
        </w:rPr>
        <w:t>p. 6-5).  Repeatedly, the study referenced Metra’s commuter parking guidelines, but does not look at them critically</w:t>
      </w:r>
      <w:r w:rsidRPr="004E3E81">
        <w:rPr>
          <w:rFonts w:cs="Arial"/>
          <w:szCs w:val="22"/>
        </w:rPr>
        <w:t xml:space="preserve"> </w:t>
      </w:r>
      <w:r>
        <w:rPr>
          <w:rFonts w:cs="Arial"/>
          <w:szCs w:val="22"/>
        </w:rPr>
        <w:t>(HNTB, 2007)</w:t>
      </w:r>
      <w:r w:rsidRPr="00A756DC">
        <w:rPr>
          <w:rFonts w:cs="Arial"/>
          <w:szCs w:val="22"/>
        </w:rPr>
        <w:t>.</w:t>
      </w:r>
    </w:p>
    <w:p w:rsidR="005123BD" w:rsidRDefault="005123BD" w:rsidP="005123BD">
      <w:pPr>
        <w:pStyle w:val="NNMainBody"/>
        <w:spacing w:line="276" w:lineRule="auto"/>
        <w:rPr>
          <w:rFonts w:cs="Arial"/>
          <w:szCs w:val="22"/>
        </w:rPr>
      </w:pPr>
      <w:r w:rsidRPr="00A756DC">
        <w:rPr>
          <w:rFonts w:cs="Arial"/>
          <w:szCs w:val="22"/>
        </w:rPr>
        <w:t>Does the 211</w:t>
      </w:r>
      <w:r w:rsidRPr="00A756DC">
        <w:rPr>
          <w:rFonts w:cs="Arial"/>
          <w:szCs w:val="22"/>
          <w:vertAlign w:val="superscript"/>
        </w:rPr>
        <w:t>th</w:t>
      </w:r>
      <w:r w:rsidRPr="00A756DC">
        <w:rPr>
          <w:rFonts w:cs="Arial"/>
          <w:szCs w:val="22"/>
        </w:rPr>
        <w:t xml:space="preserve"> Street Station need an extra 500-600 new parking sp</w:t>
      </w:r>
      <w:r w:rsidR="0049388D">
        <w:rPr>
          <w:rFonts w:cs="Arial"/>
          <w:szCs w:val="22"/>
        </w:rPr>
        <w:t xml:space="preserve">aces to make a successful TOD? </w:t>
      </w:r>
      <w:r>
        <w:rPr>
          <w:rFonts w:cs="Arial"/>
          <w:szCs w:val="22"/>
        </w:rPr>
        <w:t xml:space="preserve">How many spaces should </w:t>
      </w:r>
      <w:r w:rsidRPr="00A756DC">
        <w:rPr>
          <w:rFonts w:cs="Arial"/>
          <w:szCs w:val="22"/>
        </w:rPr>
        <w:t xml:space="preserve">TOD </w:t>
      </w:r>
      <w:r>
        <w:rPr>
          <w:rFonts w:cs="Arial"/>
          <w:szCs w:val="22"/>
        </w:rPr>
        <w:t>replace</w:t>
      </w:r>
      <w:r w:rsidRPr="00A756DC">
        <w:rPr>
          <w:rFonts w:cs="Arial"/>
          <w:szCs w:val="22"/>
        </w:rPr>
        <w:t>?</w:t>
      </w:r>
      <w:r>
        <w:rPr>
          <w:rFonts w:cs="Arial"/>
          <w:szCs w:val="22"/>
        </w:rPr>
        <w:t xml:space="preserve"> If a station is transitioning from a commuter-oriented station to a mixed-use gateway for their community, should there be any increase in parking spaces, or indeed should there be a decrease?</w:t>
      </w:r>
    </w:p>
    <w:p w:rsidR="0049388D" w:rsidRDefault="005123BD" w:rsidP="005123BD">
      <w:pPr>
        <w:pStyle w:val="NNMainBody"/>
        <w:spacing w:line="276" w:lineRule="auto"/>
        <w:rPr>
          <w:rFonts w:cs="Arial"/>
          <w:szCs w:val="22"/>
        </w:rPr>
      </w:pPr>
      <w:r>
        <w:rPr>
          <w:rFonts w:cs="Arial"/>
          <w:szCs w:val="22"/>
        </w:rPr>
        <w:lastRenderedPageBreak/>
        <w:t>Through several case studies, t</w:t>
      </w:r>
      <w:r w:rsidRPr="00A756DC">
        <w:rPr>
          <w:rFonts w:cs="Arial"/>
          <w:szCs w:val="22"/>
        </w:rPr>
        <w:t xml:space="preserve">his paper argues that a </w:t>
      </w:r>
      <w:r w:rsidR="0049388D">
        <w:rPr>
          <w:rFonts w:cs="Arial"/>
          <w:szCs w:val="22"/>
        </w:rPr>
        <w:t>park and ride-oriented</w:t>
      </w:r>
      <w:r w:rsidRPr="00A756DC">
        <w:rPr>
          <w:rFonts w:cs="Arial"/>
          <w:szCs w:val="22"/>
        </w:rPr>
        <w:t xml:space="preserve"> station</w:t>
      </w:r>
      <w:r w:rsidR="0049388D">
        <w:rPr>
          <w:rFonts w:cs="Arial"/>
          <w:szCs w:val="22"/>
        </w:rPr>
        <w:t xml:space="preserve"> is appropriate for certain locations, however</w:t>
      </w:r>
      <w:r w:rsidRPr="00A756DC">
        <w:rPr>
          <w:rFonts w:cs="Arial"/>
          <w:szCs w:val="22"/>
        </w:rPr>
        <w:t xml:space="preserve"> a </w:t>
      </w:r>
      <w:r w:rsidR="0049388D">
        <w:rPr>
          <w:rFonts w:cs="Arial"/>
          <w:szCs w:val="22"/>
        </w:rPr>
        <w:t xml:space="preserve">station serving </w:t>
      </w:r>
      <w:r w:rsidRPr="00A756DC">
        <w:rPr>
          <w:rFonts w:cs="Arial"/>
          <w:szCs w:val="22"/>
        </w:rPr>
        <w:t>transit-oriented development</w:t>
      </w:r>
      <w:r w:rsidR="0049388D">
        <w:rPr>
          <w:rFonts w:cs="Arial"/>
          <w:szCs w:val="22"/>
        </w:rPr>
        <w:t xml:space="preserve"> is better served by less parking not more – and may be best served with almost no parking</w:t>
      </w:r>
      <w:r w:rsidRPr="00A756DC">
        <w:rPr>
          <w:rFonts w:cs="Arial"/>
          <w:szCs w:val="22"/>
        </w:rPr>
        <w:t xml:space="preserve">.  TOD itself </w:t>
      </w:r>
      <w:r w:rsidR="0049388D">
        <w:rPr>
          <w:rFonts w:cs="Arial"/>
          <w:szCs w:val="22"/>
        </w:rPr>
        <w:t xml:space="preserve">has much greater </w:t>
      </w:r>
      <w:r w:rsidRPr="00A756DC">
        <w:rPr>
          <w:rFonts w:cs="Arial"/>
          <w:szCs w:val="22"/>
        </w:rPr>
        <w:t>ridership generat</w:t>
      </w:r>
      <w:r w:rsidR="0049388D">
        <w:rPr>
          <w:rFonts w:cs="Arial"/>
          <w:szCs w:val="22"/>
        </w:rPr>
        <w:t>ion than park and ride can provide in any setting where TOD is feasible</w:t>
      </w:r>
      <w:r w:rsidRPr="00A756DC">
        <w:rPr>
          <w:rFonts w:cs="Arial"/>
          <w:szCs w:val="22"/>
        </w:rPr>
        <w:t xml:space="preserve">. Commuter </w:t>
      </w:r>
      <w:r w:rsidR="0049388D">
        <w:rPr>
          <w:rFonts w:cs="Arial"/>
          <w:szCs w:val="22"/>
        </w:rPr>
        <w:t xml:space="preserve">parking </w:t>
      </w:r>
      <w:r w:rsidRPr="00A756DC">
        <w:rPr>
          <w:rFonts w:cs="Arial"/>
          <w:szCs w:val="22"/>
        </w:rPr>
        <w:t xml:space="preserve">spaces tend to reduce the ability of </w:t>
      </w:r>
      <w:r w:rsidR="0049388D">
        <w:rPr>
          <w:rFonts w:cs="Arial"/>
          <w:szCs w:val="22"/>
        </w:rPr>
        <w:t>TOD</w:t>
      </w:r>
      <w:r w:rsidR="0049388D" w:rsidRPr="00A756DC">
        <w:rPr>
          <w:rFonts w:cs="Arial"/>
          <w:szCs w:val="22"/>
        </w:rPr>
        <w:t xml:space="preserve"> </w:t>
      </w:r>
      <w:r w:rsidRPr="00A756DC">
        <w:rPr>
          <w:rFonts w:cs="Arial"/>
          <w:szCs w:val="22"/>
        </w:rPr>
        <w:t>stations to be the attractive gateways that communities like Park Forest, M</w:t>
      </w:r>
      <w:r>
        <w:rPr>
          <w:rFonts w:cs="Arial"/>
          <w:szCs w:val="22"/>
        </w:rPr>
        <w:t>atteson and Olympia Fields crave</w:t>
      </w:r>
      <w:r w:rsidRPr="00A756DC">
        <w:rPr>
          <w:rFonts w:cs="Arial"/>
          <w:szCs w:val="22"/>
        </w:rPr>
        <w:t>.</w:t>
      </w:r>
      <w:r>
        <w:rPr>
          <w:rFonts w:cs="Arial"/>
          <w:szCs w:val="22"/>
        </w:rPr>
        <w:t xml:space="preserve"> </w:t>
      </w:r>
    </w:p>
    <w:p w:rsidR="0049388D" w:rsidRDefault="0049388D" w:rsidP="005123BD">
      <w:pPr>
        <w:pStyle w:val="NNMainBody"/>
        <w:spacing w:line="276" w:lineRule="auto"/>
        <w:rPr>
          <w:rFonts w:cs="Arial"/>
          <w:szCs w:val="22"/>
        </w:rPr>
      </w:pPr>
      <w:r>
        <w:rPr>
          <w:rFonts w:cs="Arial"/>
          <w:szCs w:val="22"/>
        </w:rPr>
        <w:t>Several factors that have been observed in the case study data below suggest the following:</w:t>
      </w:r>
    </w:p>
    <w:p w:rsidR="009052F1" w:rsidRDefault="0049388D" w:rsidP="006011FD">
      <w:pPr>
        <w:pStyle w:val="NNMainBody"/>
        <w:numPr>
          <w:ilvl w:val="0"/>
          <w:numId w:val="39"/>
        </w:numPr>
        <w:spacing w:line="276" w:lineRule="auto"/>
        <w:rPr>
          <w:rFonts w:cs="Arial"/>
          <w:szCs w:val="22"/>
        </w:rPr>
      </w:pPr>
      <w:r>
        <w:rPr>
          <w:rFonts w:cs="Arial"/>
          <w:szCs w:val="22"/>
        </w:rPr>
        <w:t xml:space="preserve">Park and ride ridership profiles involve a peak AM crunch on parking and transit vehicle capacity, requiring extra peak transit capacity. After the morning commute, transit ridership from such stations plummets dramatically, regardless of whether parking capacities are reached or not. Not until the PM peak does ridership </w:t>
      </w:r>
      <w:r w:rsidR="009052F1">
        <w:rPr>
          <w:rFonts w:cs="Arial"/>
          <w:szCs w:val="22"/>
        </w:rPr>
        <w:t>pick up</w:t>
      </w:r>
      <w:r>
        <w:rPr>
          <w:rFonts w:cs="Arial"/>
          <w:szCs w:val="22"/>
        </w:rPr>
        <w:t xml:space="preserve"> again, such that many suburban park and ride stations underperform </w:t>
      </w:r>
      <w:r w:rsidR="009052F1">
        <w:rPr>
          <w:rFonts w:cs="Arial"/>
          <w:szCs w:val="22"/>
        </w:rPr>
        <w:t>TOD or village center stations with almost no parking in terms of total daily ridership.</w:t>
      </w:r>
    </w:p>
    <w:p w:rsidR="00B11908" w:rsidRDefault="00B11908" w:rsidP="006011FD">
      <w:pPr>
        <w:pStyle w:val="NNMainBody"/>
        <w:numPr>
          <w:ilvl w:val="0"/>
          <w:numId w:val="39"/>
        </w:numPr>
        <w:spacing w:line="276" w:lineRule="auto"/>
        <w:rPr>
          <w:rFonts w:cs="Arial"/>
          <w:szCs w:val="22"/>
        </w:rPr>
      </w:pPr>
      <w:r>
        <w:rPr>
          <w:rFonts w:cs="Arial"/>
          <w:szCs w:val="22"/>
        </w:rPr>
        <w:t>To provide sufficient capacity for peak park and ride loads, transit providers must have additional equipment and labor available during peak hours. Service to TOD stations, however, does not require such high peak demand as peaks are more spread, requiring less transit equipment. Meanwhile, service to park and ride facilities needs only to be minimal between peaks, leaving providers with underutilized equipment and labor, whereas TOD transit service is better utilized throughout the day, improving efficiencies.</w:t>
      </w:r>
    </w:p>
    <w:p w:rsidR="00B11908" w:rsidRDefault="009052F1" w:rsidP="006011FD">
      <w:pPr>
        <w:pStyle w:val="NNMainBody"/>
        <w:numPr>
          <w:ilvl w:val="0"/>
          <w:numId w:val="39"/>
        </w:numPr>
        <w:spacing w:line="276" w:lineRule="auto"/>
        <w:rPr>
          <w:rFonts w:cs="Arial"/>
          <w:szCs w:val="22"/>
        </w:rPr>
      </w:pPr>
      <w:r>
        <w:rPr>
          <w:rFonts w:cs="Arial"/>
          <w:szCs w:val="22"/>
        </w:rPr>
        <w:t>Walkability, the key to what makes TODs successful, is severely hampered by stations with excessive parking and associated access lanes, ramps, and curb cuts. Many stations labeled as TOD are merely “TAD”, o</w:t>
      </w:r>
      <w:r w:rsidR="00B11908">
        <w:rPr>
          <w:rFonts w:cs="Arial"/>
          <w:szCs w:val="22"/>
        </w:rPr>
        <w:t>r transit adjacent development which has the look of TOD but the parking supply of stand-alone mixed use development.</w:t>
      </w:r>
    </w:p>
    <w:p w:rsidR="00E92066" w:rsidRDefault="00E92066" w:rsidP="006011FD">
      <w:pPr>
        <w:pStyle w:val="NNMainBody"/>
        <w:numPr>
          <w:ilvl w:val="0"/>
          <w:numId w:val="39"/>
        </w:numPr>
        <w:spacing w:line="276" w:lineRule="auto"/>
        <w:rPr>
          <w:rFonts w:cs="Arial"/>
          <w:szCs w:val="22"/>
        </w:rPr>
      </w:pPr>
      <w:r>
        <w:rPr>
          <w:rFonts w:cs="Arial"/>
          <w:szCs w:val="22"/>
        </w:rPr>
        <w:t>TOD stations with little parking promote more ridership on feeder lines than stations with ample parking because limited automobile access helps force the mode shift desired by planners and transit providers. Stations that never provide parking on new transit lines can evolve into high ridership stations with high ridership feeder service.</w:t>
      </w:r>
    </w:p>
    <w:p w:rsidR="00E92066" w:rsidRDefault="00E92066" w:rsidP="006011FD">
      <w:pPr>
        <w:pStyle w:val="NNMainBody"/>
        <w:numPr>
          <w:ilvl w:val="0"/>
          <w:numId w:val="39"/>
        </w:numPr>
        <w:spacing w:line="276" w:lineRule="auto"/>
        <w:rPr>
          <w:rFonts w:cs="Arial"/>
          <w:szCs w:val="22"/>
        </w:rPr>
      </w:pPr>
      <w:r>
        <w:rPr>
          <w:rFonts w:cs="Arial"/>
          <w:szCs w:val="22"/>
        </w:rPr>
        <w:t>Transit agencies with station area land holdings see much greater return on their investment with TOD versus park and ride, even where parking is priced at market rates</w:t>
      </w:r>
      <w:r w:rsidR="006011FD">
        <w:rPr>
          <w:rFonts w:cs="Arial"/>
          <w:szCs w:val="22"/>
        </w:rPr>
        <w:t>. Not only is livable building area more valuable than parking lots or garages, but housing and employment at a station means significantly higher ridership potential and greater net agency revenues.</w:t>
      </w:r>
    </w:p>
    <w:p w:rsidR="006011FD" w:rsidRDefault="006011FD" w:rsidP="005123BD">
      <w:pPr>
        <w:pStyle w:val="NNMainBody"/>
        <w:spacing w:line="276" w:lineRule="auto"/>
        <w:rPr>
          <w:rFonts w:cs="Arial"/>
          <w:szCs w:val="22"/>
        </w:rPr>
      </w:pPr>
      <w:r>
        <w:rPr>
          <w:rFonts w:cs="Arial"/>
          <w:szCs w:val="22"/>
        </w:rPr>
        <w:t>These points are derived from a review of TOD literature and the following case studies.</w:t>
      </w:r>
    </w:p>
    <w:p w:rsidR="004C24A1" w:rsidRDefault="004C24A1" w:rsidP="005123BD">
      <w:pPr>
        <w:pStyle w:val="NNMainBody"/>
        <w:spacing w:line="276" w:lineRule="auto"/>
        <w:rPr>
          <w:rFonts w:cs="Arial"/>
          <w:szCs w:val="22"/>
        </w:rPr>
      </w:pPr>
    </w:p>
    <w:p w:rsidR="005123BD" w:rsidRPr="00A756DC" w:rsidRDefault="005123BD" w:rsidP="003F5418">
      <w:pPr>
        <w:pStyle w:val="NNPTask"/>
      </w:pPr>
      <w:r w:rsidRPr="00A756DC">
        <w:t>South Hayward Station, BART</w:t>
      </w:r>
    </w:p>
    <w:p w:rsidR="005123BD" w:rsidRPr="00A756DC" w:rsidRDefault="006011FD" w:rsidP="005123BD">
      <w:pPr>
        <w:pStyle w:val="NNMainBody"/>
        <w:spacing w:line="276" w:lineRule="auto"/>
        <w:rPr>
          <w:rFonts w:cs="Arial"/>
          <w:szCs w:val="22"/>
        </w:rPr>
      </w:pPr>
      <w:r>
        <w:rPr>
          <w:rFonts w:cs="Arial"/>
          <w:szCs w:val="22"/>
        </w:rPr>
        <w:t xml:space="preserve">Bay Area Rapid Transit (BART) was designed to be a hybrid service that supplied frequent rapid </w:t>
      </w:r>
      <w:r w:rsidR="00153834">
        <w:rPr>
          <w:rFonts w:cs="Arial"/>
          <w:szCs w:val="22"/>
        </w:rPr>
        <w:t xml:space="preserve">rail </w:t>
      </w:r>
      <w:r>
        <w:rPr>
          <w:rFonts w:cs="Arial"/>
          <w:szCs w:val="22"/>
        </w:rPr>
        <w:t>transit service in the urban centers it connected and regional commuter</w:t>
      </w:r>
      <w:r w:rsidR="00153834">
        <w:rPr>
          <w:rFonts w:cs="Arial"/>
          <w:szCs w:val="22"/>
        </w:rPr>
        <w:t xml:space="preserve"> rail</w:t>
      </w:r>
      <w:r>
        <w:rPr>
          <w:rFonts w:cs="Arial"/>
          <w:szCs w:val="22"/>
        </w:rPr>
        <w:t xml:space="preserve"> service to displaced centers throughout the Bay Area. Stations in San Francisco and Oakland are closely spaces and served by multiple lines for greater frequency. Stations</w:t>
      </w:r>
      <w:r w:rsidR="009D347E">
        <w:rPr>
          <w:rFonts w:cs="Arial"/>
          <w:szCs w:val="22"/>
        </w:rPr>
        <w:t xml:space="preserve"> elsewhere in the Bay Area are further apart and served by only one or two lines at longer headways. The majority of these stations were developed with a standard park and ride </w:t>
      </w:r>
      <w:r w:rsidR="00A72154">
        <w:rPr>
          <w:rFonts w:cs="Arial"/>
          <w:szCs w:val="22"/>
        </w:rPr>
        <w:t xml:space="preserve">design that incorporates </w:t>
      </w:r>
      <w:r w:rsidR="00153834">
        <w:rPr>
          <w:rFonts w:cs="Arial"/>
          <w:szCs w:val="22"/>
        </w:rPr>
        <w:t xml:space="preserve">large fields of parking surrounding a series of “airport-style” drop-off and feeder bus platforms adjacent to the </w:t>
      </w:r>
      <w:r w:rsidR="00153834">
        <w:rPr>
          <w:rFonts w:cs="Arial"/>
          <w:szCs w:val="22"/>
        </w:rPr>
        <w:lastRenderedPageBreak/>
        <w:t>single station entrance. Even in built-up areas, such as Hayward, this design was used. The South Hayward BART station has</w:t>
      </w:r>
      <w:r w:rsidR="005123BD" w:rsidRPr="00A756DC">
        <w:rPr>
          <w:rFonts w:cs="Arial"/>
          <w:szCs w:val="22"/>
        </w:rPr>
        <w:t xml:space="preserve"> currently 1,252 commuter spaces.</w:t>
      </w:r>
    </w:p>
    <w:p w:rsidR="005123BD" w:rsidRPr="00A756DC" w:rsidRDefault="00ED6159" w:rsidP="004C24A1">
      <w:pPr>
        <w:pStyle w:val="NNMainBody"/>
      </w:pPr>
      <w:r>
        <w:t xml:space="preserve">On the heels of recent success with the Fruitvale BART TOD, which incorporated a large mixed-use development on top of Fruitvale’s former parking lots in Oakland, BART undertook an effort to evaluate the benefits of expanding TOD on other park and ride lots, with South Hayward being an obvious choice due to the density of the surrounding neighborhoods. </w:t>
      </w:r>
      <w:r w:rsidR="005123BD" w:rsidRPr="00A756DC">
        <w:t>BART had a long-standing practice of requiring 1:1 replacement parking. In other words, the developer of a BART surface lot must pay for new parking structures to replace all the spaces lost to the development. This requirement ensures that all existing BART riders can continue to drive and park at the station. At the same time, however, it posed a considerable obstacle for developers, reduced BART revenue and compromised BART’s policy of reducing the share of access by single occupant vehicle. The average cost of building replacement parking is $20</w:t>
      </w:r>
      <w:r>
        <w:t>k</w:t>
      </w:r>
      <w:r w:rsidR="005123BD" w:rsidRPr="00A756DC">
        <w:t xml:space="preserve"> to $30</w:t>
      </w:r>
      <w:r>
        <w:t>k per space</w:t>
      </w:r>
      <w:r w:rsidR="005123BD" w:rsidRPr="00A756DC">
        <w:t>, a</w:t>
      </w:r>
      <w:r>
        <w:t xml:space="preserve"> sizable increment per unit or per SF of commercial space</w:t>
      </w:r>
      <w:r w:rsidR="005123BD" w:rsidRPr="00A756DC">
        <w:t xml:space="preserve"> that </w:t>
      </w:r>
      <w:r>
        <w:t>must be financed or subsidized</w:t>
      </w:r>
      <w:r w:rsidR="005123BD" w:rsidRPr="00A756DC">
        <w:t>. There is also a substantial opportunity cost in devoting land to parking rather than new development</w:t>
      </w:r>
      <w:r w:rsidR="008A7B7F">
        <w:t xml:space="preserve"> with higher revenue streams, especially in the Bay Area. Finally</w:t>
      </w:r>
      <w:r w:rsidR="005123BD" w:rsidRPr="00A756DC">
        <w:t xml:space="preserve">, </w:t>
      </w:r>
      <w:r w:rsidR="008A7B7F">
        <w:t>BART was cognizant that providing commuter parking was an</w:t>
      </w:r>
      <w:r w:rsidR="005123BD" w:rsidRPr="00A756DC">
        <w:t xml:space="preserve"> equity issue in that </w:t>
      </w:r>
      <w:r w:rsidR="008A7B7F">
        <w:t xml:space="preserve">it </w:t>
      </w:r>
      <w:r w:rsidR="005123BD" w:rsidRPr="00A756DC">
        <w:t>only serve</w:t>
      </w:r>
      <w:r w:rsidR="008A7B7F">
        <w:t>d</w:t>
      </w:r>
      <w:r w:rsidR="005123BD" w:rsidRPr="00A756DC">
        <w:t xml:space="preserve"> those who drive and park – fewer than half of the total riders at </w:t>
      </w:r>
      <w:r w:rsidR="008A7B7F">
        <w:t xml:space="preserve">stations like </w:t>
      </w:r>
      <w:r w:rsidR="005123BD" w:rsidRPr="00A756DC">
        <w:t>South Hayward.</w:t>
      </w:r>
    </w:p>
    <w:p w:rsidR="005123BD" w:rsidRPr="004E3E81" w:rsidRDefault="005123BD" w:rsidP="004C24A1">
      <w:pPr>
        <w:pStyle w:val="NNMainBody"/>
        <w:rPr>
          <w:highlight w:val="green"/>
        </w:rPr>
      </w:pPr>
      <w:r w:rsidRPr="00A756DC">
        <w:t xml:space="preserve">In recognition of these issues, the BART Board in 2005 adopted a new transit oriented development policy which provides greater flexibility in determining optimum replacement parking levels. </w:t>
      </w:r>
      <w:r w:rsidR="008A7B7F">
        <w:t>A detailed</w:t>
      </w:r>
      <w:r w:rsidRPr="00A756DC">
        <w:t xml:space="preserve"> analysis of the ridership and revenue impacts of different levels of parking provision</w:t>
      </w:r>
      <w:r w:rsidR="008A7B7F">
        <w:t xml:space="preserve"> was conducted</w:t>
      </w:r>
      <w:r w:rsidRPr="00A756DC">
        <w:t xml:space="preserve"> using a new methodology developed by BART and Professor Richard Willson</w:t>
      </w:r>
      <w:r w:rsidR="008A7B7F">
        <w:t xml:space="preserve"> of the University of California – Los Angeles</w:t>
      </w:r>
      <w:r w:rsidR="009B71C5">
        <w:t>.</w:t>
      </w:r>
      <w:r w:rsidR="008A7B7F">
        <w:t xml:space="preserve"> T</w:t>
      </w:r>
      <w:r w:rsidRPr="00A756DC">
        <w:t xml:space="preserve">he results show that the less replacement parking that is provided, the greater the revenue benefits to BART, and in most cases the greater the ridership as well (Figures </w:t>
      </w:r>
      <w:r w:rsidR="00A52666">
        <w:t>1 and 2</w:t>
      </w:r>
      <w:r w:rsidRPr="00A756DC">
        <w:t xml:space="preserve">). Even though some </w:t>
      </w:r>
      <w:r w:rsidR="00A52666">
        <w:t xml:space="preserve">existing </w:t>
      </w:r>
      <w:r w:rsidRPr="00A756DC">
        <w:t xml:space="preserve">riders are lost as parking is reduced from the current supply, this is far outweighed by ridership generated by the new development that is made possible. Moreover, </w:t>
      </w:r>
      <w:r w:rsidR="008A7B7F">
        <w:t>most</w:t>
      </w:r>
      <w:r w:rsidR="008A7B7F" w:rsidRPr="00A756DC">
        <w:t xml:space="preserve"> </w:t>
      </w:r>
      <w:r w:rsidRPr="00A756DC">
        <w:t>development options generate enough revenue to pay for the cost of replacement parking, a new bus intermodal facility</w:t>
      </w:r>
      <w:r w:rsidR="008A7B7F">
        <w:t>,</w:t>
      </w:r>
      <w:r w:rsidRPr="00A756DC">
        <w:t xml:space="preserve"> and place</w:t>
      </w:r>
      <w:r w:rsidR="008A7B7F">
        <w:t>-</w:t>
      </w:r>
      <w:r w:rsidRPr="00A756DC">
        <w:t xml:space="preserve">making investments in the </w:t>
      </w:r>
      <w:r w:rsidR="008A7B7F">
        <w:t>station area</w:t>
      </w:r>
      <w:r w:rsidRPr="00A756DC">
        <w:t>.</w:t>
      </w:r>
    </w:p>
    <w:p w:rsidR="005123BD" w:rsidRPr="00A756DC" w:rsidRDefault="005123BD" w:rsidP="004C24A1">
      <w:pPr>
        <w:pStyle w:val="NNMainBody"/>
        <w:rPr>
          <w:noProof/>
        </w:rPr>
      </w:pPr>
      <w:r w:rsidRPr="00A756DC">
        <w:t xml:space="preserve">Note that these results stand in contrast to options where higher levels of replacement parking and lower development densities meant that, although there was a net ridership increase, there was a negative financial impact on BART. Allowing for 75 percent (or greater) BART replacement parking </w:t>
      </w:r>
      <w:r w:rsidR="00A52666">
        <w:t>would</w:t>
      </w:r>
      <w:r w:rsidR="00A52666" w:rsidRPr="00A756DC">
        <w:t xml:space="preserve"> </w:t>
      </w:r>
      <w:r w:rsidRPr="00A756DC">
        <w:t>likely require some form of public funds to advance the project</w:t>
      </w:r>
      <w:r w:rsidR="00A52666">
        <w:rPr>
          <w:noProof/>
        </w:rPr>
        <w:t>, which is exactly what happened with the successful Fruitvale TOD that was still committed to building replacement parking years later in a slightly remote site, even though the development was a resounding financial and ridership success.</w:t>
      </w:r>
    </w:p>
    <w:p w:rsidR="009B71C5" w:rsidRDefault="009B71C5" w:rsidP="005123BD">
      <w:pPr>
        <w:autoSpaceDE w:val="0"/>
        <w:autoSpaceDN w:val="0"/>
        <w:adjustRightInd w:val="0"/>
        <w:spacing w:before="0" w:after="0"/>
        <w:rPr>
          <w:rFonts w:cs="Arial"/>
          <w:b/>
          <w:noProof/>
          <w:szCs w:val="22"/>
        </w:rPr>
      </w:pPr>
    </w:p>
    <w:p w:rsidR="005123BD" w:rsidRPr="00A756DC" w:rsidRDefault="005123BD" w:rsidP="004C24A1">
      <w:pPr>
        <w:pStyle w:val="Caption"/>
        <w:rPr>
          <w:noProof/>
        </w:rPr>
      </w:pPr>
      <w:r w:rsidRPr="00A756DC">
        <w:rPr>
          <w:noProof/>
        </w:rPr>
        <w:lastRenderedPageBreak/>
        <w:t xml:space="preserve">Figure </w:t>
      </w:r>
      <w:r w:rsidR="009B71C5">
        <w:rPr>
          <w:noProof/>
        </w:rPr>
        <w:t>1</w:t>
      </w:r>
      <w:r w:rsidRPr="00A756DC">
        <w:rPr>
          <w:noProof/>
        </w:rPr>
        <w:t>: Ridership and Revenue Impacts</w:t>
      </w:r>
    </w:p>
    <w:p w:rsidR="004C24A1" w:rsidRDefault="009B71C5" w:rsidP="005123BD">
      <w:pPr>
        <w:autoSpaceDE w:val="0"/>
        <w:autoSpaceDN w:val="0"/>
        <w:adjustRightInd w:val="0"/>
        <w:spacing w:before="0" w:after="0"/>
      </w:pPr>
      <w:r w:rsidRPr="009B71C5">
        <w:drawing>
          <wp:inline distT="0" distB="0" distL="0" distR="0">
            <wp:extent cx="6035040" cy="4060392"/>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035040" cy="4060392"/>
                    </a:xfrm>
                    <a:prstGeom prst="rect">
                      <a:avLst/>
                    </a:prstGeom>
                    <a:noFill/>
                    <a:ln w="9525">
                      <a:noFill/>
                      <a:miter lim="800000"/>
                      <a:headEnd/>
                      <a:tailEnd/>
                    </a:ln>
                  </pic:spPr>
                </pic:pic>
              </a:graphicData>
            </a:graphic>
          </wp:inline>
        </w:drawing>
      </w:r>
      <w:r w:rsidRPr="009B71C5" w:rsidDel="009B71C5">
        <w:t xml:space="preserve"> </w:t>
      </w:r>
    </w:p>
    <w:p w:rsidR="005123BD" w:rsidRPr="00A756DC" w:rsidRDefault="005123BD" w:rsidP="005123BD">
      <w:pPr>
        <w:autoSpaceDE w:val="0"/>
        <w:autoSpaceDN w:val="0"/>
        <w:adjustRightInd w:val="0"/>
        <w:spacing w:before="0" w:after="0"/>
        <w:rPr>
          <w:rFonts w:cs="Arial"/>
          <w:szCs w:val="22"/>
        </w:rPr>
      </w:pPr>
    </w:p>
    <w:p w:rsidR="009B71C5" w:rsidRPr="00A756DC" w:rsidRDefault="009B71C5" w:rsidP="004C24A1">
      <w:pPr>
        <w:pStyle w:val="Caption"/>
        <w:rPr>
          <w:noProof/>
        </w:rPr>
      </w:pPr>
      <w:r w:rsidRPr="00A756DC">
        <w:rPr>
          <w:noProof/>
        </w:rPr>
        <w:t xml:space="preserve">Figure </w:t>
      </w:r>
      <w:r>
        <w:rPr>
          <w:noProof/>
        </w:rPr>
        <w:t>2</w:t>
      </w:r>
      <w:r w:rsidRPr="00A756DC">
        <w:rPr>
          <w:noProof/>
        </w:rPr>
        <w:t xml:space="preserve">: Ridership and Revenue </w:t>
      </w:r>
      <w:r>
        <w:rPr>
          <w:noProof/>
        </w:rPr>
        <w:t>Calculations</w:t>
      </w:r>
    </w:p>
    <w:tbl>
      <w:tblPr>
        <w:tblW w:w="9680" w:type="dxa"/>
        <w:tblInd w:w="95" w:type="dxa"/>
        <w:tblLook w:val="04A0"/>
      </w:tblPr>
      <w:tblGrid>
        <w:gridCol w:w="960"/>
        <w:gridCol w:w="4360"/>
        <w:gridCol w:w="2180"/>
        <w:gridCol w:w="2180"/>
      </w:tblGrid>
      <w:tr w:rsidR="005123BD" w:rsidRPr="00A756DC" w:rsidTr="00AE7D95">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 </w:t>
            </w:r>
          </w:p>
        </w:tc>
        <w:tc>
          <w:tcPr>
            <w:tcW w:w="4360" w:type="dxa"/>
            <w:tcBorders>
              <w:top w:val="single" w:sz="4" w:space="0" w:color="auto"/>
              <w:left w:val="nil"/>
              <w:bottom w:val="single" w:sz="4" w:space="0" w:color="auto"/>
              <w:right w:val="single" w:sz="4" w:space="0" w:color="auto"/>
            </w:tcBorders>
            <w:shd w:val="clear" w:color="000000" w:fill="CCC0DA"/>
            <w:noWrap/>
            <w:vAlign w:val="bottom"/>
            <w:hideMark/>
          </w:tcPr>
          <w:p w:rsidR="005123BD" w:rsidRPr="00A756DC" w:rsidRDefault="005123BD" w:rsidP="00AE7D95">
            <w:pPr>
              <w:spacing w:before="0" w:after="0"/>
              <w:rPr>
                <w:rFonts w:cs="Arial"/>
                <w:b/>
                <w:color w:val="000000"/>
                <w:szCs w:val="22"/>
              </w:rPr>
            </w:pPr>
            <w:r w:rsidRPr="00A756DC">
              <w:rPr>
                <w:rFonts w:cs="Arial"/>
                <w:b/>
                <w:color w:val="000000"/>
                <w:szCs w:val="22"/>
              </w:rPr>
              <w:t>Revenue Factors</w:t>
            </w:r>
          </w:p>
        </w:tc>
        <w:tc>
          <w:tcPr>
            <w:tcW w:w="2180" w:type="dxa"/>
            <w:tcBorders>
              <w:top w:val="single" w:sz="4" w:space="0" w:color="auto"/>
              <w:left w:val="nil"/>
              <w:bottom w:val="single" w:sz="4" w:space="0" w:color="auto"/>
              <w:right w:val="single" w:sz="4" w:space="0" w:color="auto"/>
            </w:tcBorders>
            <w:shd w:val="clear" w:color="000000" w:fill="CCC0DA"/>
            <w:vAlign w:val="bottom"/>
            <w:hideMark/>
          </w:tcPr>
          <w:p w:rsidR="005123BD" w:rsidRPr="00A756DC" w:rsidRDefault="005123BD" w:rsidP="00AE7D95">
            <w:pPr>
              <w:spacing w:before="0" w:after="0"/>
              <w:jc w:val="center"/>
              <w:rPr>
                <w:rFonts w:cs="Arial"/>
                <w:b/>
                <w:color w:val="000000"/>
                <w:szCs w:val="22"/>
              </w:rPr>
            </w:pPr>
            <w:r w:rsidRPr="00A756DC">
              <w:rPr>
                <w:rFonts w:cs="Arial"/>
                <w:b/>
                <w:color w:val="000000"/>
                <w:szCs w:val="22"/>
              </w:rPr>
              <w:t>60% BART  Replacement Parking</w:t>
            </w:r>
          </w:p>
        </w:tc>
        <w:tc>
          <w:tcPr>
            <w:tcW w:w="2180" w:type="dxa"/>
            <w:tcBorders>
              <w:top w:val="single" w:sz="4" w:space="0" w:color="auto"/>
              <w:left w:val="nil"/>
              <w:bottom w:val="single" w:sz="4" w:space="0" w:color="auto"/>
              <w:right w:val="single" w:sz="4" w:space="0" w:color="auto"/>
            </w:tcBorders>
            <w:shd w:val="clear" w:color="000000" w:fill="CCC0DA"/>
            <w:vAlign w:val="bottom"/>
            <w:hideMark/>
          </w:tcPr>
          <w:p w:rsidR="005123BD" w:rsidRPr="00A756DC" w:rsidRDefault="005123BD" w:rsidP="00AE7D95">
            <w:pPr>
              <w:spacing w:before="0" w:after="0"/>
              <w:jc w:val="center"/>
              <w:rPr>
                <w:rFonts w:cs="Arial"/>
                <w:b/>
                <w:color w:val="000000"/>
                <w:szCs w:val="22"/>
              </w:rPr>
            </w:pPr>
            <w:r w:rsidRPr="00A756DC">
              <w:rPr>
                <w:rFonts w:cs="Arial"/>
                <w:b/>
                <w:color w:val="000000"/>
                <w:szCs w:val="22"/>
              </w:rPr>
              <w:t>75% BART  Replacement Parking</w:t>
            </w:r>
          </w:p>
        </w:tc>
      </w:tr>
      <w:tr w:rsidR="005123BD" w:rsidRPr="00A756DC" w:rsidTr="00AE7D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A</w:t>
            </w:r>
          </w:p>
        </w:tc>
        <w:tc>
          <w:tcPr>
            <w:tcW w:w="436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Net change in ridership</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1,698</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1,841</w:t>
            </w:r>
          </w:p>
        </w:tc>
      </w:tr>
      <w:tr w:rsidR="005123BD" w:rsidRPr="00A756DC" w:rsidTr="00AE7D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B</w:t>
            </w:r>
          </w:p>
        </w:tc>
        <w:tc>
          <w:tcPr>
            <w:tcW w:w="436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Ne change in annual fare revenue</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 xml:space="preserve">$1,357,302 </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 xml:space="preserve">$1,470,932 </w:t>
            </w:r>
          </w:p>
        </w:tc>
      </w:tr>
      <w:tr w:rsidR="005123BD" w:rsidRPr="00A756DC" w:rsidTr="00AE7D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C</w:t>
            </w:r>
          </w:p>
        </w:tc>
        <w:tc>
          <w:tcPr>
            <w:tcW w:w="436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Net parking revenue</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 xml:space="preserve">$114,471 </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 xml:space="preserve">$142,768 </w:t>
            </w:r>
          </w:p>
        </w:tc>
      </w:tr>
      <w:tr w:rsidR="005123BD" w:rsidRPr="00A756DC" w:rsidTr="00AE7D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D</w:t>
            </w:r>
          </w:p>
        </w:tc>
        <w:tc>
          <w:tcPr>
            <w:tcW w:w="436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Land value</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 xml:space="preserve">$20,999,055 </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 xml:space="preserve">$19,524,872 </w:t>
            </w:r>
          </w:p>
        </w:tc>
      </w:tr>
      <w:tr w:rsidR="005123BD" w:rsidRPr="00A756DC" w:rsidTr="00AE7D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E</w:t>
            </w:r>
          </w:p>
        </w:tc>
        <w:tc>
          <w:tcPr>
            <w:tcW w:w="436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Cost of replacement parking</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 xml:space="preserve">$17,596,600 </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 xml:space="preserve">$22,552,600 </w:t>
            </w:r>
          </w:p>
        </w:tc>
      </w:tr>
      <w:tr w:rsidR="005123BD" w:rsidRPr="00A756DC" w:rsidTr="00AE7D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F</w:t>
            </w:r>
          </w:p>
        </w:tc>
        <w:tc>
          <w:tcPr>
            <w:tcW w:w="436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Annual ground rest after parking costs</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 xml:space="preserve">$340,246 </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($302,773)</w:t>
            </w:r>
          </w:p>
        </w:tc>
      </w:tr>
      <w:tr w:rsidR="005123BD" w:rsidRPr="00A756DC" w:rsidTr="00AE7D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G</w:t>
            </w:r>
          </w:p>
        </w:tc>
        <w:tc>
          <w:tcPr>
            <w:tcW w:w="436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Reduction in parking operating cost</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 xml:space="preserve">$60,195 </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color w:val="000000"/>
                <w:szCs w:val="22"/>
              </w:rPr>
            </w:pPr>
            <w:r w:rsidRPr="00A756DC">
              <w:rPr>
                <w:rFonts w:cs="Arial"/>
                <w:color w:val="000000"/>
                <w:szCs w:val="22"/>
              </w:rPr>
              <w:t>($34,964)</w:t>
            </w:r>
          </w:p>
        </w:tc>
      </w:tr>
      <w:tr w:rsidR="005123BD" w:rsidRPr="00A756DC" w:rsidTr="00AE7D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H</w:t>
            </w:r>
          </w:p>
        </w:tc>
        <w:tc>
          <w:tcPr>
            <w:tcW w:w="4360" w:type="dxa"/>
            <w:tcBorders>
              <w:top w:val="nil"/>
              <w:left w:val="nil"/>
              <w:bottom w:val="single" w:sz="4" w:space="0" w:color="auto"/>
              <w:right w:val="single" w:sz="4" w:space="0" w:color="auto"/>
            </w:tcBorders>
            <w:shd w:val="clear" w:color="auto" w:fill="auto"/>
            <w:vAlign w:val="bottom"/>
            <w:hideMark/>
          </w:tcPr>
          <w:p w:rsidR="005123BD" w:rsidRPr="00A756DC" w:rsidRDefault="005123BD" w:rsidP="00AE7D95">
            <w:pPr>
              <w:spacing w:before="0" w:after="0"/>
              <w:rPr>
                <w:rFonts w:cs="Arial"/>
                <w:color w:val="000000"/>
                <w:szCs w:val="22"/>
              </w:rPr>
            </w:pPr>
            <w:r w:rsidRPr="00A756DC">
              <w:rPr>
                <w:rFonts w:cs="Arial"/>
                <w:color w:val="000000"/>
                <w:szCs w:val="22"/>
              </w:rPr>
              <w:t>Annualized capital costs for intermodal facility and placemaking elements</w:t>
            </w:r>
          </w:p>
        </w:tc>
        <w:tc>
          <w:tcPr>
            <w:tcW w:w="2180" w:type="dxa"/>
            <w:tcBorders>
              <w:top w:val="nil"/>
              <w:left w:val="nil"/>
              <w:bottom w:val="single" w:sz="4" w:space="0" w:color="auto"/>
              <w:right w:val="single" w:sz="4" w:space="0" w:color="auto"/>
            </w:tcBorders>
            <w:shd w:val="clear" w:color="auto" w:fill="auto"/>
            <w:noWrap/>
            <w:hideMark/>
          </w:tcPr>
          <w:p w:rsidR="005123BD" w:rsidRPr="00A756DC" w:rsidRDefault="005123BD" w:rsidP="00AE7D95">
            <w:pPr>
              <w:spacing w:before="0" w:after="0"/>
              <w:jc w:val="right"/>
              <w:rPr>
                <w:rFonts w:cs="Arial"/>
                <w:color w:val="000000"/>
                <w:szCs w:val="22"/>
              </w:rPr>
            </w:pPr>
            <w:r w:rsidRPr="00A756DC">
              <w:rPr>
                <w:rFonts w:cs="Arial"/>
                <w:color w:val="000000"/>
                <w:szCs w:val="22"/>
              </w:rPr>
              <w:t xml:space="preserve">$500,000 </w:t>
            </w:r>
          </w:p>
        </w:tc>
        <w:tc>
          <w:tcPr>
            <w:tcW w:w="2180" w:type="dxa"/>
            <w:tcBorders>
              <w:top w:val="nil"/>
              <w:left w:val="nil"/>
              <w:bottom w:val="single" w:sz="4" w:space="0" w:color="auto"/>
              <w:right w:val="single" w:sz="4" w:space="0" w:color="auto"/>
            </w:tcBorders>
            <w:shd w:val="clear" w:color="auto" w:fill="auto"/>
            <w:noWrap/>
            <w:hideMark/>
          </w:tcPr>
          <w:p w:rsidR="005123BD" w:rsidRPr="00A756DC" w:rsidRDefault="005123BD" w:rsidP="00AE7D95">
            <w:pPr>
              <w:spacing w:before="0" w:after="0"/>
              <w:jc w:val="right"/>
              <w:rPr>
                <w:rFonts w:cs="Arial"/>
                <w:color w:val="000000"/>
                <w:szCs w:val="22"/>
              </w:rPr>
            </w:pPr>
            <w:r w:rsidRPr="00A756DC">
              <w:rPr>
                <w:rFonts w:cs="Arial"/>
                <w:color w:val="000000"/>
                <w:szCs w:val="22"/>
              </w:rPr>
              <w:t xml:space="preserve">$500,000 </w:t>
            </w:r>
          </w:p>
        </w:tc>
      </w:tr>
      <w:tr w:rsidR="005123BD" w:rsidRPr="00A756DC" w:rsidTr="00AE7D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b/>
                <w:bCs/>
                <w:color w:val="000000"/>
                <w:szCs w:val="22"/>
              </w:rPr>
            </w:pPr>
            <w:r w:rsidRPr="00A756DC">
              <w:rPr>
                <w:rFonts w:cs="Arial"/>
                <w:b/>
                <w:bCs/>
                <w:color w:val="000000"/>
                <w:szCs w:val="22"/>
              </w:rPr>
              <w:t>I</w:t>
            </w:r>
          </w:p>
        </w:tc>
        <w:tc>
          <w:tcPr>
            <w:tcW w:w="436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rPr>
                <w:rFonts w:cs="Arial"/>
                <w:b/>
                <w:bCs/>
                <w:color w:val="000000"/>
                <w:szCs w:val="22"/>
              </w:rPr>
            </w:pPr>
            <w:r w:rsidRPr="00A756DC">
              <w:rPr>
                <w:rFonts w:cs="Arial"/>
                <w:b/>
                <w:bCs/>
                <w:color w:val="000000"/>
                <w:szCs w:val="22"/>
              </w:rPr>
              <w:t>Net annual impact (B+C+F+G-H)</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b/>
                <w:bCs/>
                <w:color w:val="000000"/>
                <w:szCs w:val="22"/>
              </w:rPr>
            </w:pPr>
            <w:r w:rsidRPr="00A756DC">
              <w:rPr>
                <w:rFonts w:cs="Arial"/>
                <w:b/>
                <w:bCs/>
                <w:color w:val="000000"/>
                <w:szCs w:val="22"/>
              </w:rPr>
              <w:t xml:space="preserve">$1,372,213 </w:t>
            </w:r>
          </w:p>
        </w:tc>
        <w:tc>
          <w:tcPr>
            <w:tcW w:w="2180" w:type="dxa"/>
            <w:tcBorders>
              <w:top w:val="nil"/>
              <w:left w:val="nil"/>
              <w:bottom w:val="single" w:sz="4" w:space="0" w:color="auto"/>
              <w:right w:val="single" w:sz="4" w:space="0" w:color="auto"/>
            </w:tcBorders>
            <w:shd w:val="clear" w:color="auto" w:fill="auto"/>
            <w:noWrap/>
            <w:vAlign w:val="bottom"/>
            <w:hideMark/>
          </w:tcPr>
          <w:p w:rsidR="005123BD" w:rsidRPr="00A756DC" w:rsidRDefault="005123BD" w:rsidP="00AE7D95">
            <w:pPr>
              <w:spacing w:before="0" w:after="0"/>
              <w:jc w:val="right"/>
              <w:rPr>
                <w:rFonts w:cs="Arial"/>
                <w:b/>
                <w:bCs/>
                <w:color w:val="000000"/>
                <w:szCs w:val="22"/>
              </w:rPr>
            </w:pPr>
            <w:r w:rsidRPr="00A756DC">
              <w:rPr>
                <w:rFonts w:cs="Arial"/>
                <w:b/>
                <w:bCs/>
                <w:color w:val="000000"/>
                <w:szCs w:val="22"/>
              </w:rPr>
              <w:t xml:space="preserve">$775,964 </w:t>
            </w:r>
          </w:p>
        </w:tc>
      </w:tr>
    </w:tbl>
    <w:p w:rsidR="005123BD" w:rsidRPr="00A756DC" w:rsidRDefault="005123BD" w:rsidP="005123BD">
      <w:pPr>
        <w:autoSpaceDE w:val="0"/>
        <w:autoSpaceDN w:val="0"/>
        <w:adjustRightInd w:val="0"/>
        <w:spacing w:before="0" w:after="0"/>
        <w:rPr>
          <w:rFonts w:cs="Arial"/>
          <w:szCs w:val="22"/>
        </w:rPr>
      </w:pPr>
    </w:p>
    <w:p w:rsidR="005123BD" w:rsidRPr="00A756DC" w:rsidRDefault="003F5418" w:rsidP="003F5418">
      <w:pPr>
        <w:pStyle w:val="NNPTask"/>
      </w:pPr>
      <w:r>
        <w:t xml:space="preserve">Commuter Rail Parking, </w:t>
      </w:r>
      <w:r w:rsidR="005123BD" w:rsidRPr="00A756DC">
        <w:t>MBTA</w:t>
      </w:r>
    </w:p>
    <w:p w:rsidR="005123BD" w:rsidRDefault="005123BD" w:rsidP="005123BD">
      <w:pPr>
        <w:pStyle w:val="NNMainBody"/>
        <w:spacing w:line="276" w:lineRule="auto"/>
        <w:rPr>
          <w:rFonts w:cs="Arial"/>
          <w:szCs w:val="22"/>
        </w:rPr>
      </w:pPr>
      <w:r>
        <w:rPr>
          <w:rFonts w:cs="Arial"/>
          <w:szCs w:val="22"/>
        </w:rPr>
        <w:t>As part of the Big Dig project in Boston, in which Interstate 93 was placed under the city, the Conservation Law Foundation and the Commonwealth of Massachusetts came to a</w:t>
      </w:r>
      <w:r w:rsidR="00A52666">
        <w:rPr>
          <w:rFonts w:cs="Arial"/>
          <w:szCs w:val="22"/>
        </w:rPr>
        <w:t>n</w:t>
      </w:r>
      <w:r>
        <w:rPr>
          <w:rFonts w:cs="Arial"/>
          <w:szCs w:val="22"/>
        </w:rPr>
        <w:t xml:space="preserve"> agreement that was intended to mitigate air pollution due to increased automotive capacity in the downtown. Part of this agreement was the </w:t>
      </w:r>
      <w:r w:rsidR="00A52666">
        <w:rPr>
          <w:rFonts w:cs="Arial"/>
          <w:szCs w:val="22"/>
        </w:rPr>
        <w:t>Massachusetts Bay Transit Authority’s (</w:t>
      </w:r>
      <w:r>
        <w:rPr>
          <w:rFonts w:cs="Arial"/>
          <w:szCs w:val="22"/>
        </w:rPr>
        <w:t>MBTA’s</w:t>
      </w:r>
      <w:r w:rsidR="00A52666">
        <w:rPr>
          <w:rFonts w:cs="Arial"/>
          <w:szCs w:val="22"/>
        </w:rPr>
        <w:t>)</w:t>
      </w:r>
      <w:r>
        <w:rPr>
          <w:rFonts w:cs="Arial"/>
          <w:szCs w:val="22"/>
        </w:rPr>
        <w:t xml:space="preserve"> commitment to create </w:t>
      </w:r>
      <w:r w:rsidR="00A52666">
        <w:rPr>
          <w:rFonts w:cs="Arial"/>
          <w:szCs w:val="22"/>
        </w:rPr>
        <w:t>10,000</w:t>
      </w:r>
      <w:r>
        <w:rPr>
          <w:rFonts w:cs="Arial"/>
          <w:szCs w:val="22"/>
        </w:rPr>
        <w:t xml:space="preserve"> new </w:t>
      </w:r>
      <w:r w:rsidR="00A52666">
        <w:rPr>
          <w:rFonts w:cs="Arial"/>
          <w:szCs w:val="22"/>
        </w:rPr>
        <w:t>parking spaces</w:t>
      </w:r>
      <w:r>
        <w:rPr>
          <w:rFonts w:cs="Arial"/>
          <w:szCs w:val="22"/>
        </w:rPr>
        <w:t xml:space="preserve"> at </w:t>
      </w:r>
      <w:r w:rsidR="00A52666">
        <w:rPr>
          <w:rFonts w:cs="Arial"/>
          <w:szCs w:val="22"/>
        </w:rPr>
        <w:t>the region’s transit</w:t>
      </w:r>
      <w:r>
        <w:rPr>
          <w:rFonts w:cs="Arial"/>
          <w:szCs w:val="22"/>
        </w:rPr>
        <w:t xml:space="preserve"> stations. </w:t>
      </w:r>
    </w:p>
    <w:p w:rsidR="005123BD" w:rsidRDefault="005123BD" w:rsidP="005123BD">
      <w:pPr>
        <w:pStyle w:val="NNMainBody"/>
        <w:spacing w:line="276" w:lineRule="auto"/>
        <w:rPr>
          <w:rFonts w:cs="Arial"/>
          <w:szCs w:val="22"/>
        </w:rPr>
      </w:pPr>
      <w:r>
        <w:rPr>
          <w:rFonts w:cs="Arial"/>
          <w:szCs w:val="22"/>
        </w:rPr>
        <w:lastRenderedPageBreak/>
        <w:t xml:space="preserve">Data, however, does not support the creation of so much new parking. More specifically, the data suggests that </w:t>
      </w:r>
      <w:r w:rsidR="00A52666">
        <w:rPr>
          <w:rFonts w:cs="Arial"/>
          <w:szCs w:val="22"/>
        </w:rPr>
        <w:t xml:space="preserve">the </w:t>
      </w:r>
      <w:r>
        <w:rPr>
          <w:rFonts w:cs="Arial"/>
          <w:szCs w:val="22"/>
        </w:rPr>
        <w:t xml:space="preserve">MBTA, as with other systems, should not simply create parking at all stations, but must be judicious in deciding where parking should be increased and where it should be decreased. One major factor should be the mix of uses, </w:t>
      </w:r>
      <w:r w:rsidR="00A52666">
        <w:rPr>
          <w:rFonts w:cs="Arial"/>
          <w:szCs w:val="22"/>
        </w:rPr>
        <w:t>as well as</w:t>
      </w:r>
      <w:r>
        <w:rPr>
          <w:rFonts w:cs="Arial"/>
          <w:szCs w:val="22"/>
        </w:rPr>
        <w:t xml:space="preserve"> the development and use aspirations of the surrounding community.</w:t>
      </w:r>
    </w:p>
    <w:p w:rsidR="005123BD" w:rsidRDefault="005123BD" w:rsidP="005123BD">
      <w:pPr>
        <w:pStyle w:val="NNMainBody"/>
        <w:spacing w:line="276" w:lineRule="auto"/>
        <w:rPr>
          <w:rFonts w:cs="Arial"/>
          <w:szCs w:val="22"/>
        </w:rPr>
      </w:pPr>
      <w:r>
        <w:rPr>
          <w:rFonts w:cs="Arial"/>
          <w:szCs w:val="22"/>
        </w:rPr>
        <w:t>The mix of uses</w:t>
      </w:r>
      <w:r w:rsidR="00A52666">
        <w:rPr>
          <w:rFonts w:cs="Arial"/>
          <w:szCs w:val="22"/>
        </w:rPr>
        <w:t>,</w:t>
      </w:r>
      <w:r>
        <w:rPr>
          <w:rFonts w:cs="Arial"/>
          <w:szCs w:val="22"/>
        </w:rPr>
        <w:t xml:space="preserve"> of course</w:t>
      </w:r>
      <w:r w:rsidR="00A52666">
        <w:rPr>
          <w:rFonts w:cs="Arial"/>
          <w:szCs w:val="22"/>
        </w:rPr>
        <w:t>,</w:t>
      </w:r>
      <w:r>
        <w:rPr>
          <w:rFonts w:cs="Arial"/>
          <w:szCs w:val="22"/>
        </w:rPr>
        <w:t xml:space="preserve"> helps </w:t>
      </w:r>
      <w:r w:rsidR="00A52666">
        <w:rPr>
          <w:rFonts w:cs="Arial"/>
          <w:szCs w:val="22"/>
        </w:rPr>
        <w:t xml:space="preserve">drive </w:t>
      </w:r>
      <w:r>
        <w:rPr>
          <w:rFonts w:cs="Arial"/>
          <w:szCs w:val="22"/>
        </w:rPr>
        <w:t xml:space="preserve">ridership. </w:t>
      </w:r>
      <w:r w:rsidR="00E30CAC">
        <w:rPr>
          <w:rFonts w:cs="Arial"/>
          <w:szCs w:val="22"/>
        </w:rPr>
        <w:t xml:space="preserve">An analysis of a 2004 MBTA Commuter Rail Parking Lot Utilization Study overlaid on a 2005 MBTA Train Audit </w:t>
      </w:r>
      <w:r>
        <w:rPr>
          <w:rFonts w:cs="Arial"/>
          <w:szCs w:val="22"/>
        </w:rPr>
        <w:t>shows that stations that have dense mixed</w:t>
      </w:r>
      <w:r w:rsidR="00A52666">
        <w:rPr>
          <w:rFonts w:cs="Arial"/>
          <w:szCs w:val="22"/>
        </w:rPr>
        <w:t>-</w:t>
      </w:r>
      <w:r>
        <w:rPr>
          <w:rFonts w:cs="Arial"/>
          <w:szCs w:val="22"/>
        </w:rPr>
        <w:t xml:space="preserve">use </w:t>
      </w:r>
      <w:r w:rsidR="00A52666">
        <w:rPr>
          <w:rFonts w:cs="Arial"/>
          <w:szCs w:val="22"/>
        </w:rPr>
        <w:t xml:space="preserve">districts within walking distance </w:t>
      </w:r>
      <w:r>
        <w:rPr>
          <w:rFonts w:cs="Arial"/>
          <w:szCs w:val="22"/>
        </w:rPr>
        <w:t>have higher ratios of boardings per parked car, often while maintaining high levels of ridership. This means that systems can build less parking but maintain ridership.</w:t>
      </w:r>
    </w:p>
    <w:p w:rsidR="005123BD" w:rsidRDefault="005123BD" w:rsidP="005123BD">
      <w:pPr>
        <w:pStyle w:val="NNMainBody"/>
        <w:spacing w:line="276" w:lineRule="auto"/>
        <w:rPr>
          <w:rFonts w:cs="Arial"/>
          <w:szCs w:val="22"/>
        </w:rPr>
      </w:pPr>
      <w:r w:rsidRPr="00A756DC">
        <w:rPr>
          <w:rFonts w:cs="Arial"/>
          <w:szCs w:val="22"/>
        </w:rPr>
        <w:t xml:space="preserve">The MBTA operates </w:t>
      </w:r>
      <w:r w:rsidR="00A52666">
        <w:rPr>
          <w:rFonts w:cs="Arial"/>
          <w:szCs w:val="22"/>
        </w:rPr>
        <w:t>over 100</w:t>
      </w:r>
      <w:r w:rsidRPr="00A756DC">
        <w:rPr>
          <w:rFonts w:cs="Arial"/>
          <w:szCs w:val="22"/>
        </w:rPr>
        <w:t xml:space="preserve"> commuter rail stations in the metro-Boston area. They can be categorized by setting, into village, park and ride, and downtown</w:t>
      </w:r>
      <w:r>
        <w:rPr>
          <w:rFonts w:cs="Arial"/>
          <w:szCs w:val="22"/>
        </w:rPr>
        <w:t xml:space="preserve"> stations</w:t>
      </w:r>
      <w:r w:rsidRPr="00A756DC">
        <w:rPr>
          <w:rFonts w:cs="Arial"/>
          <w:szCs w:val="22"/>
        </w:rPr>
        <w:t>.</w:t>
      </w:r>
      <w:r>
        <w:rPr>
          <w:rFonts w:cs="Arial"/>
          <w:szCs w:val="22"/>
        </w:rPr>
        <w:t xml:space="preserve"> Park and </w:t>
      </w:r>
      <w:r w:rsidR="005D6959">
        <w:rPr>
          <w:rFonts w:cs="Arial"/>
          <w:szCs w:val="22"/>
        </w:rPr>
        <w:t>r</w:t>
      </w:r>
      <w:r>
        <w:rPr>
          <w:rFonts w:cs="Arial"/>
          <w:szCs w:val="22"/>
        </w:rPr>
        <w:t xml:space="preserve">ide stations are </w:t>
      </w:r>
      <w:r w:rsidR="005D6959">
        <w:rPr>
          <w:rFonts w:cs="Arial"/>
          <w:szCs w:val="22"/>
        </w:rPr>
        <w:t xml:space="preserve">generally </w:t>
      </w:r>
      <w:r>
        <w:rPr>
          <w:rFonts w:cs="Arial"/>
          <w:szCs w:val="22"/>
        </w:rPr>
        <w:t xml:space="preserve">along highways or in remote commuter-oriented settings. Village stations have walkable, mixed use centers, but are not necessarily </w:t>
      </w:r>
      <w:r w:rsidR="005D6959">
        <w:rPr>
          <w:rFonts w:cs="Arial"/>
          <w:szCs w:val="22"/>
        </w:rPr>
        <w:t xml:space="preserve">very developed or </w:t>
      </w:r>
      <w:r>
        <w:rPr>
          <w:rFonts w:cs="Arial"/>
          <w:szCs w:val="22"/>
        </w:rPr>
        <w:t xml:space="preserve">dense. </w:t>
      </w:r>
      <w:r w:rsidR="005D6959">
        <w:rPr>
          <w:rFonts w:cs="Arial"/>
          <w:szCs w:val="22"/>
        </w:rPr>
        <w:t>Downtowns</w:t>
      </w:r>
      <w:r>
        <w:rPr>
          <w:rFonts w:cs="Arial"/>
          <w:szCs w:val="22"/>
        </w:rPr>
        <w:t xml:space="preserve"> are city and town centers </w:t>
      </w:r>
      <w:r w:rsidR="005D6959">
        <w:rPr>
          <w:rFonts w:cs="Arial"/>
          <w:szCs w:val="22"/>
        </w:rPr>
        <w:t xml:space="preserve">outside of Boston and Cambridge proper </w:t>
      </w:r>
      <w:r>
        <w:rPr>
          <w:rFonts w:cs="Arial"/>
          <w:szCs w:val="22"/>
        </w:rPr>
        <w:t>that are walkable, mixed</w:t>
      </w:r>
      <w:r w:rsidR="005D6959">
        <w:rPr>
          <w:rFonts w:cs="Arial"/>
          <w:szCs w:val="22"/>
        </w:rPr>
        <w:t>-</w:t>
      </w:r>
      <w:r>
        <w:rPr>
          <w:rFonts w:cs="Arial"/>
          <w:szCs w:val="22"/>
        </w:rPr>
        <w:t>use and dense.</w:t>
      </w:r>
      <w:r w:rsidR="005D6959">
        <w:rPr>
          <w:rFonts w:cs="Arial"/>
          <w:szCs w:val="22"/>
        </w:rPr>
        <w:t xml:space="preserve"> </w:t>
      </w:r>
      <w:r>
        <w:rPr>
          <w:rFonts w:cs="Arial"/>
          <w:szCs w:val="22"/>
        </w:rPr>
        <w:t xml:space="preserve">As </w:t>
      </w:r>
      <w:r w:rsidR="005D6959">
        <w:rPr>
          <w:rFonts w:cs="Arial"/>
          <w:szCs w:val="22"/>
        </w:rPr>
        <w:t>F</w:t>
      </w:r>
      <w:r>
        <w:rPr>
          <w:rFonts w:cs="Arial"/>
          <w:szCs w:val="22"/>
        </w:rPr>
        <w:t>igures</w:t>
      </w:r>
      <w:r w:rsidR="005D6959">
        <w:rPr>
          <w:rFonts w:cs="Arial"/>
          <w:szCs w:val="22"/>
        </w:rPr>
        <w:t xml:space="preserve"> 3-5 </w:t>
      </w:r>
      <w:r>
        <w:rPr>
          <w:rFonts w:cs="Arial"/>
          <w:szCs w:val="22"/>
        </w:rPr>
        <w:t xml:space="preserve">show, park and ride stations maintain an average boarding per parked car of 1.9, while village settings maintain 4.7 boardings per parked car, and downtowns have </w:t>
      </w:r>
      <w:r w:rsidR="005D6959">
        <w:rPr>
          <w:rFonts w:cs="Arial"/>
          <w:szCs w:val="22"/>
        </w:rPr>
        <w:t>6.6</w:t>
      </w:r>
      <w:r>
        <w:rPr>
          <w:rFonts w:cs="Arial"/>
          <w:szCs w:val="22"/>
        </w:rPr>
        <w:t xml:space="preserve"> boardings per parked car.</w:t>
      </w:r>
    </w:p>
    <w:p w:rsidR="00E30CAC" w:rsidRDefault="00AA04C5" w:rsidP="005123BD">
      <w:pPr>
        <w:pStyle w:val="NNMainBody"/>
        <w:spacing w:line="276" w:lineRule="auto"/>
        <w:rPr>
          <w:rFonts w:cs="Arial"/>
          <w:szCs w:val="22"/>
        </w:rPr>
      </w:pPr>
      <w:r>
        <w:rPr>
          <w:rFonts w:cs="Arial"/>
          <w:szCs w:val="22"/>
        </w:rPr>
        <w:t>This data suggest that f</w:t>
      </w:r>
      <w:r w:rsidR="005123BD">
        <w:rPr>
          <w:rFonts w:cs="Arial"/>
          <w:szCs w:val="22"/>
        </w:rPr>
        <w:t>or transit to</w:t>
      </w:r>
      <w:r>
        <w:rPr>
          <w:rFonts w:cs="Arial"/>
          <w:szCs w:val="22"/>
        </w:rPr>
        <w:t xml:space="preserve"> have sufficient ridership to warrant the investment in service</w:t>
      </w:r>
      <w:r w:rsidR="005123BD">
        <w:rPr>
          <w:rFonts w:cs="Arial"/>
          <w:szCs w:val="22"/>
        </w:rPr>
        <w:t xml:space="preserve">, stops that </w:t>
      </w:r>
      <w:r>
        <w:rPr>
          <w:rFonts w:cs="Arial"/>
          <w:szCs w:val="22"/>
        </w:rPr>
        <w:t xml:space="preserve">are intended </w:t>
      </w:r>
      <w:r w:rsidR="005123BD">
        <w:rPr>
          <w:rFonts w:cs="Arial"/>
          <w:szCs w:val="22"/>
        </w:rPr>
        <w:t>to be</w:t>
      </w:r>
      <w:r>
        <w:rPr>
          <w:rFonts w:cs="Arial"/>
          <w:szCs w:val="22"/>
        </w:rPr>
        <w:t xml:space="preserve"> walkable</w:t>
      </w:r>
      <w:r w:rsidR="005123BD">
        <w:rPr>
          <w:rFonts w:cs="Arial"/>
          <w:szCs w:val="22"/>
        </w:rPr>
        <w:t xml:space="preserve"> village centers </w:t>
      </w:r>
      <w:r>
        <w:rPr>
          <w:rFonts w:cs="Arial"/>
          <w:szCs w:val="22"/>
        </w:rPr>
        <w:t>and downtowns</w:t>
      </w:r>
      <w:r w:rsidR="005123BD">
        <w:rPr>
          <w:rFonts w:cs="Arial"/>
          <w:szCs w:val="22"/>
        </w:rPr>
        <w:t xml:space="preserve"> do not need additional </w:t>
      </w:r>
      <w:r>
        <w:rPr>
          <w:rFonts w:cs="Arial"/>
          <w:szCs w:val="22"/>
        </w:rPr>
        <w:t xml:space="preserve">commuter </w:t>
      </w:r>
      <w:r w:rsidR="005123BD">
        <w:rPr>
          <w:rFonts w:cs="Arial"/>
          <w:szCs w:val="22"/>
        </w:rPr>
        <w:t xml:space="preserve">parking. Indeed, to </w:t>
      </w:r>
      <w:r>
        <w:rPr>
          <w:rFonts w:cs="Arial"/>
          <w:szCs w:val="22"/>
        </w:rPr>
        <w:t>grow</w:t>
      </w:r>
      <w:r w:rsidR="005123BD">
        <w:rPr>
          <w:rFonts w:cs="Arial"/>
          <w:szCs w:val="22"/>
        </w:rPr>
        <w:t xml:space="preserve"> ridership, </w:t>
      </w:r>
      <w:r>
        <w:rPr>
          <w:rFonts w:cs="Arial"/>
          <w:szCs w:val="22"/>
        </w:rPr>
        <w:t xml:space="preserve">reducing </w:t>
      </w:r>
      <w:r w:rsidR="005123BD">
        <w:rPr>
          <w:rFonts w:cs="Arial"/>
          <w:szCs w:val="22"/>
        </w:rPr>
        <w:t xml:space="preserve">parking </w:t>
      </w:r>
      <w:r>
        <w:rPr>
          <w:rFonts w:cs="Arial"/>
          <w:szCs w:val="22"/>
        </w:rPr>
        <w:t>may be a better strategy, especially where infill development can occur.</w:t>
      </w:r>
      <w:r w:rsidR="005123BD">
        <w:rPr>
          <w:rFonts w:cs="Arial"/>
          <w:szCs w:val="22"/>
        </w:rPr>
        <w:t xml:space="preserve"> </w:t>
      </w:r>
      <w:r w:rsidR="00C22C1F">
        <w:rPr>
          <w:rFonts w:cs="Arial"/>
          <w:szCs w:val="22"/>
        </w:rPr>
        <w:t>Where conditions do not support density, c</w:t>
      </w:r>
      <w:r w:rsidR="005123BD">
        <w:rPr>
          <w:rFonts w:cs="Arial"/>
          <w:szCs w:val="22"/>
        </w:rPr>
        <w:t xml:space="preserve">ommuter parking can be constructed, but it should be done so </w:t>
      </w:r>
      <w:r w:rsidR="00C22C1F">
        <w:rPr>
          <w:rFonts w:cs="Arial"/>
          <w:szCs w:val="22"/>
        </w:rPr>
        <w:t>in locations with good regional roadway access</w:t>
      </w:r>
      <w:r w:rsidR="005123BD">
        <w:rPr>
          <w:rFonts w:cs="Arial"/>
          <w:szCs w:val="22"/>
        </w:rPr>
        <w:t xml:space="preserve"> where communities do not want to develop walkable village centers</w:t>
      </w:r>
      <w:r w:rsidR="00C22C1F">
        <w:rPr>
          <w:rFonts w:cs="Arial"/>
          <w:szCs w:val="22"/>
        </w:rPr>
        <w:t xml:space="preserve"> or downtowns.</w:t>
      </w:r>
    </w:p>
    <w:p w:rsidR="005123BD" w:rsidRPr="00A756DC" w:rsidRDefault="00654F8F" w:rsidP="005123BD">
      <w:pPr>
        <w:pStyle w:val="NNMainBody"/>
        <w:spacing w:line="276" w:lineRule="auto"/>
        <w:rPr>
          <w:rFonts w:cs="Arial"/>
          <w:szCs w:val="22"/>
        </w:rPr>
      </w:pPr>
      <w:r>
        <w:rPr>
          <w:rFonts w:cs="Arial"/>
          <w:szCs w:val="22"/>
        </w:rPr>
        <w:t xml:space="preserve">Regardless, </w:t>
      </w:r>
      <w:r w:rsidR="00E30CAC">
        <w:rPr>
          <w:rFonts w:cs="Arial"/>
          <w:szCs w:val="22"/>
        </w:rPr>
        <w:t xml:space="preserve">MBTA policy continues to </w:t>
      </w:r>
      <w:r>
        <w:rPr>
          <w:rFonts w:cs="Arial"/>
          <w:szCs w:val="22"/>
        </w:rPr>
        <w:t>adhere to its agreement with the Conservation Law Foundation by working with any community seeking to build new parking near a commuter rail station. Garages that have been built or approved recently are exclusively in downtowns, including Haverhill, Salem, and Beverly, which unfortunately happen to have some of the highest boardings and lowest automobile access rates in the region.</w:t>
      </w:r>
    </w:p>
    <w:p w:rsidR="005D6959" w:rsidRPr="005D6959" w:rsidRDefault="005D6959" w:rsidP="00E30CAC">
      <w:pPr>
        <w:pStyle w:val="Caption"/>
        <w:rPr>
          <w:noProof/>
        </w:rPr>
      </w:pPr>
      <w:r w:rsidRPr="005D6959">
        <w:rPr>
          <w:noProof/>
        </w:rPr>
        <w:lastRenderedPageBreak/>
        <w:t>Figure 3:</w:t>
      </w:r>
      <w:r w:rsidR="00AA04C5">
        <w:rPr>
          <w:noProof/>
        </w:rPr>
        <w:t xml:space="preserve"> Ratio of Boardings to Parked Cars – Park &amp; Ride Stations</w:t>
      </w:r>
    </w:p>
    <w:p w:rsidR="00C22C1F" w:rsidRDefault="00E30CAC" w:rsidP="005123BD">
      <w:pPr>
        <w:pStyle w:val="NNMainBody"/>
        <w:spacing w:line="276" w:lineRule="auto"/>
        <w:rPr>
          <w:szCs w:val="22"/>
        </w:rPr>
      </w:pPr>
      <w:r w:rsidRPr="00E30CAC">
        <w:drawing>
          <wp:inline distT="0" distB="0" distL="0" distR="0">
            <wp:extent cx="4902078" cy="3589028"/>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902078" cy="3589028"/>
                    </a:xfrm>
                    <a:prstGeom prst="rect">
                      <a:avLst/>
                    </a:prstGeom>
                    <a:noFill/>
                    <a:ln w="9525">
                      <a:noFill/>
                      <a:miter lim="800000"/>
                      <a:headEnd/>
                      <a:tailEnd/>
                    </a:ln>
                  </pic:spPr>
                </pic:pic>
              </a:graphicData>
            </a:graphic>
          </wp:inline>
        </w:drawing>
      </w:r>
      <w:r w:rsidR="005D6959" w:rsidRPr="005D6959" w:rsidDel="005D6959">
        <w:rPr>
          <w:szCs w:val="22"/>
        </w:rPr>
        <w:t xml:space="preserve"> </w:t>
      </w:r>
    </w:p>
    <w:p w:rsidR="00C22C1F" w:rsidRDefault="00C22C1F" w:rsidP="005123BD">
      <w:pPr>
        <w:pStyle w:val="NNMainBody"/>
        <w:spacing w:line="276" w:lineRule="auto"/>
        <w:rPr>
          <w:szCs w:val="22"/>
        </w:rPr>
      </w:pPr>
    </w:p>
    <w:p w:rsidR="00C22C1F" w:rsidRPr="005D6959" w:rsidRDefault="00C22C1F" w:rsidP="00E30CAC">
      <w:pPr>
        <w:pStyle w:val="Caption"/>
        <w:rPr>
          <w:noProof/>
        </w:rPr>
      </w:pPr>
      <w:r>
        <w:rPr>
          <w:noProof/>
        </w:rPr>
        <w:t>Figure 4</w:t>
      </w:r>
      <w:r w:rsidRPr="005D6959">
        <w:rPr>
          <w:noProof/>
        </w:rPr>
        <w:t>:</w:t>
      </w:r>
      <w:r>
        <w:rPr>
          <w:noProof/>
        </w:rPr>
        <w:t xml:space="preserve"> Ratio of Boardings to Parked Cars – Village Center Stations</w:t>
      </w:r>
    </w:p>
    <w:p w:rsidR="005123BD" w:rsidRDefault="00E30CAC" w:rsidP="005123BD">
      <w:pPr>
        <w:pStyle w:val="NNMainBody"/>
        <w:spacing w:line="276" w:lineRule="auto"/>
        <w:rPr>
          <w:rFonts w:cs="Arial"/>
          <w:szCs w:val="22"/>
        </w:rPr>
      </w:pPr>
      <w:r w:rsidRPr="00E30CAC">
        <w:drawing>
          <wp:inline distT="0" distB="0" distL="0" distR="0">
            <wp:extent cx="5009606" cy="3512531"/>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009606" cy="3512531"/>
                    </a:xfrm>
                    <a:prstGeom prst="rect">
                      <a:avLst/>
                    </a:prstGeom>
                    <a:noFill/>
                    <a:ln w="9525">
                      <a:noFill/>
                      <a:miter lim="800000"/>
                      <a:headEnd/>
                      <a:tailEnd/>
                    </a:ln>
                  </pic:spPr>
                </pic:pic>
              </a:graphicData>
            </a:graphic>
          </wp:inline>
        </w:drawing>
      </w:r>
    </w:p>
    <w:p w:rsidR="00E30CAC" w:rsidRPr="005D6959" w:rsidRDefault="00E30CAC" w:rsidP="00E30CAC">
      <w:pPr>
        <w:pStyle w:val="Caption"/>
        <w:rPr>
          <w:noProof/>
        </w:rPr>
      </w:pPr>
      <w:r>
        <w:rPr>
          <w:noProof/>
        </w:rPr>
        <w:lastRenderedPageBreak/>
        <w:t>Figure 5</w:t>
      </w:r>
      <w:r w:rsidRPr="005D6959">
        <w:rPr>
          <w:noProof/>
        </w:rPr>
        <w:t>:</w:t>
      </w:r>
      <w:r>
        <w:rPr>
          <w:noProof/>
        </w:rPr>
        <w:t xml:space="preserve"> Ratio of Boardings to Parked Cars – Downtown Stations</w:t>
      </w:r>
    </w:p>
    <w:p w:rsidR="005123BD" w:rsidRPr="00A756DC" w:rsidRDefault="00E30CAC" w:rsidP="005123BD">
      <w:pPr>
        <w:pStyle w:val="NNMainBody"/>
        <w:spacing w:line="276" w:lineRule="auto"/>
        <w:rPr>
          <w:rFonts w:cs="Arial"/>
          <w:szCs w:val="22"/>
        </w:rPr>
      </w:pPr>
      <w:r w:rsidRPr="00E30CAC">
        <w:drawing>
          <wp:inline distT="0" distB="0" distL="0" distR="0">
            <wp:extent cx="4761411" cy="2927654"/>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762593" cy="2928381"/>
                    </a:xfrm>
                    <a:prstGeom prst="rect">
                      <a:avLst/>
                    </a:prstGeom>
                    <a:noFill/>
                    <a:ln w="9525">
                      <a:noFill/>
                      <a:miter lim="800000"/>
                      <a:headEnd/>
                      <a:tailEnd/>
                    </a:ln>
                  </pic:spPr>
                </pic:pic>
              </a:graphicData>
            </a:graphic>
          </wp:inline>
        </w:drawing>
      </w:r>
    </w:p>
    <w:p w:rsidR="005123BD" w:rsidRDefault="003F5418" w:rsidP="003F5418">
      <w:pPr>
        <w:pStyle w:val="NNPTask"/>
      </w:pPr>
      <w:r>
        <w:t xml:space="preserve">Downtown Parking, </w:t>
      </w:r>
      <w:r w:rsidR="005123BD">
        <w:t>Ann Arbor</w:t>
      </w:r>
    </w:p>
    <w:p w:rsidR="005123BD" w:rsidRDefault="005123BD" w:rsidP="005123BD">
      <w:pPr>
        <w:pStyle w:val="NNMainBody"/>
        <w:spacing w:line="276" w:lineRule="auto"/>
        <w:rPr>
          <w:rFonts w:cs="Arial"/>
          <w:szCs w:val="22"/>
        </w:rPr>
      </w:pPr>
      <w:r>
        <w:rPr>
          <w:rFonts w:cs="Arial"/>
          <w:szCs w:val="22"/>
        </w:rPr>
        <w:t>The cost of commuter parking is not simply financial, it consists of a substantial opportunity cost.  In Ann Arbor, MI, by forgoing the creation of new parking, funds were dedicated to new buses.</w:t>
      </w:r>
    </w:p>
    <w:p w:rsidR="005123BD" w:rsidRPr="003C4CB7" w:rsidRDefault="005123BD" w:rsidP="005123BD">
      <w:pPr>
        <w:pStyle w:val="NNMainBody"/>
      </w:pPr>
      <w:r w:rsidRPr="003C4CB7">
        <w:t xml:space="preserve">The City of Ann Arbor, through its Downtown Development Authority (DDA) manages nearly all public parking in the city’s downtown — including on- and off-street parking spaces — with the goal of balancing parking accommodation with demand management to produce the maximum benefit to the community. The provision of a comprehensive, managed parking supply, combined with an absence of minimum parking requirements, relieves developers of pressures to provide on-site parking at downtown projects. This promotes the compact, dense, mixed-use development patterns that make downtown Ann Arbor a high-demand residential, employment, and recreational destination — and an uncommon economic success within a long-struggling region. </w:t>
      </w:r>
    </w:p>
    <w:p w:rsidR="005123BD" w:rsidRPr="003C4CB7" w:rsidRDefault="005123BD" w:rsidP="005123BD">
      <w:pPr>
        <w:pStyle w:val="NNMainBody"/>
      </w:pPr>
      <w:r>
        <w:t xml:space="preserve">Over the </w:t>
      </w:r>
      <w:r w:rsidRPr="003C4CB7">
        <w:t>years, the DDA has worked to address the concerns on all sides of the parking supply and demand debate</w:t>
      </w:r>
      <w:r w:rsidR="00654F8F">
        <w:t xml:space="preserve"> by</w:t>
      </w:r>
      <w:r w:rsidRPr="003C4CB7">
        <w:t xml:space="preserve"> refurbishing parking assets and reaching out to businesses to monitor their needs, while at the same time using parking funds to invest in innovative demand-management programs, including:</w:t>
      </w:r>
    </w:p>
    <w:p w:rsidR="005123BD" w:rsidRPr="003C4CB7" w:rsidRDefault="005123BD" w:rsidP="005123BD">
      <w:pPr>
        <w:pStyle w:val="NNBullets"/>
        <w:tabs>
          <w:tab w:val="num" w:pos="720"/>
          <w:tab w:val="left" w:pos="1170"/>
        </w:tabs>
        <w:spacing w:after="120"/>
        <w:rPr>
          <w:rFonts w:eastAsia="Calibri"/>
        </w:rPr>
      </w:pPr>
      <w:r w:rsidRPr="003C4CB7">
        <w:rPr>
          <w:rFonts w:eastAsia="Calibri"/>
        </w:rPr>
        <w:t>A Universal Transit Pass program</w:t>
      </w:r>
      <w:r w:rsidR="00654F8F">
        <w:rPr>
          <w:rFonts w:eastAsia="Calibri"/>
        </w:rPr>
        <w:t xml:space="preserve"> where</w:t>
      </w:r>
      <w:r w:rsidRPr="003C4CB7">
        <w:rPr>
          <w:szCs w:val="22"/>
        </w:rPr>
        <w:t xml:space="preserve"> </w:t>
      </w:r>
      <w:r w:rsidRPr="003C4CB7">
        <w:rPr>
          <w:rFonts w:eastAsia="Calibri"/>
        </w:rPr>
        <w:t xml:space="preserve">participating employers </w:t>
      </w:r>
      <w:r w:rsidRPr="003C4CB7">
        <w:rPr>
          <w:szCs w:val="22"/>
        </w:rPr>
        <w:t xml:space="preserve">pay </w:t>
      </w:r>
      <w:r w:rsidRPr="003C4CB7">
        <w:rPr>
          <w:rFonts w:eastAsia="Calibri"/>
        </w:rPr>
        <w:t>$5 for annual, unlimited-ride bus passes for their employees;</w:t>
      </w:r>
    </w:p>
    <w:p w:rsidR="005123BD" w:rsidRPr="003C4CB7" w:rsidRDefault="005123BD" w:rsidP="005123BD">
      <w:pPr>
        <w:pStyle w:val="NNBullets"/>
        <w:tabs>
          <w:tab w:val="num" w:pos="720"/>
          <w:tab w:val="left" w:pos="1170"/>
        </w:tabs>
        <w:spacing w:after="120"/>
        <w:rPr>
          <w:rFonts w:eastAsia="Calibri"/>
        </w:rPr>
      </w:pPr>
      <w:r w:rsidRPr="003C4CB7">
        <w:rPr>
          <w:rFonts w:eastAsia="Calibri"/>
        </w:rPr>
        <w:t>The getDowntown program which promotes a multi-modal focus on commuting to Downtown jobs</w:t>
      </w:r>
      <w:r w:rsidRPr="003C4CB7">
        <w:rPr>
          <w:rStyle w:val="FootnoteReference"/>
          <w:rFonts w:eastAsiaTheme="majorEastAsia"/>
          <w:szCs w:val="22"/>
        </w:rPr>
        <w:footnoteReference w:id="2"/>
      </w:r>
      <w:r w:rsidRPr="003C4CB7">
        <w:rPr>
          <w:rFonts w:eastAsia="Calibri"/>
        </w:rPr>
        <w:t xml:space="preserve">. </w:t>
      </w:r>
    </w:p>
    <w:p w:rsidR="005123BD" w:rsidRPr="003C4CB7" w:rsidRDefault="005123BD" w:rsidP="005123BD">
      <w:pPr>
        <w:pStyle w:val="NNBullets"/>
        <w:tabs>
          <w:tab w:val="num" w:pos="720"/>
          <w:tab w:val="left" w:pos="1170"/>
        </w:tabs>
        <w:spacing w:after="120"/>
        <w:rPr>
          <w:rFonts w:eastAsia="Calibri"/>
        </w:rPr>
      </w:pPr>
      <w:r w:rsidRPr="003C4CB7">
        <w:rPr>
          <w:rFonts w:eastAsia="Calibri"/>
        </w:rPr>
        <w:t>Downtown Zipcar sponsorship in collaboration with the University of Michigan Zipcar program</w:t>
      </w:r>
    </w:p>
    <w:p w:rsidR="005123BD" w:rsidRPr="003C4CB7" w:rsidRDefault="005123BD" w:rsidP="005123BD">
      <w:pPr>
        <w:pStyle w:val="NNMainBody"/>
      </w:pPr>
      <w:r>
        <w:t>T</w:t>
      </w:r>
      <w:r w:rsidRPr="003C4CB7">
        <w:t xml:space="preserve">he DDA has also adopted the core philosophy that parking should “pay for itself”, without need for tax subsidies. The basic reasoning behind this philosophy is that the users of the parking system can and should pay for the system, which means that others who oppose parking on principle or who don’t use the parking system are not contributing to its operation and </w:t>
      </w:r>
      <w:r w:rsidRPr="003C4CB7">
        <w:lastRenderedPageBreak/>
        <w:t>maintenance. The DDA’s many non-parking investments are based on the basic economic principle that parking is but one means of providing downtown access and that building parking structures (at roughly $30,000 per space and up) often buys less downtown access than other transportation investment options, and the diversity of uses in downtown require a diversity of transportation solutions.</w:t>
      </w:r>
    </w:p>
    <w:p w:rsidR="005123BD" w:rsidRPr="003C4CB7" w:rsidRDefault="005123BD" w:rsidP="005123BD">
      <w:pPr>
        <w:pStyle w:val="NNMainBody"/>
      </w:pPr>
      <w:r w:rsidRPr="003C4CB7">
        <w:t>This comprehensive approach to parking and transportation is at the heart of the City’s current parking management practices — practices that conform closely to many core, parking-management best practices, including:</w:t>
      </w:r>
    </w:p>
    <w:p w:rsidR="005123BD" w:rsidRPr="00B25AA5" w:rsidRDefault="005123BD" w:rsidP="005123BD">
      <w:pPr>
        <w:pStyle w:val="NNBullets"/>
        <w:tabs>
          <w:tab w:val="num" w:pos="720"/>
          <w:tab w:val="left" w:pos="1170"/>
        </w:tabs>
        <w:spacing w:after="120"/>
        <w:rPr>
          <w:rFonts w:eastAsia="Calibri"/>
        </w:rPr>
      </w:pPr>
      <w:r w:rsidRPr="00B25AA5">
        <w:rPr>
          <w:rFonts w:eastAsia="Calibri"/>
        </w:rPr>
        <w:t>No Minimum Requirements</w:t>
      </w:r>
      <w:r w:rsidR="006F4171">
        <w:rPr>
          <w:rFonts w:eastAsia="Calibri"/>
        </w:rPr>
        <w:t>:</w:t>
      </w:r>
      <w:r w:rsidRPr="00B25AA5">
        <w:rPr>
          <w:rFonts w:eastAsia="Calibri"/>
        </w:rPr>
        <w:t xml:space="preserve"> There are no parking requirements for as-of-right development within Downtown</w:t>
      </w:r>
      <w:r w:rsidRPr="003C4CB7">
        <w:rPr>
          <w:rFonts w:eastAsia="Calibri"/>
        </w:rPr>
        <w:t>;</w:t>
      </w:r>
    </w:p>
    <w:p w:rsidR="005123BD" w:rsidRPr="00B25AA5" w:rsidRDefault="005123BD" w:rsidP="005123BD">
      <w:pPr>
        <w:pStyle w:val="NNBullets"/>
        <w:tabs>
          <w:tab w:val="num" w:pos="720"/>
          <w:tab w:val="left" w:pos="1170"/>
        </w:tabs>
        <w:spacing w:after="120"/>
        <w:rPr>
          <w:rFonts w:eastAsia="Calibri"/>
        </w:rPr>
      </w:pPr>
      <w:r w:rsidRPr="00B25AA5">
        <w:rPr>
          <w:rFonts w:eastAsia="Calibri"/>
        </w:rPr>
        <w:t>Shared Parking/ Park Once</w:t>
      </w:r>
      <w:r w:rsidR="006F4171">
        <w:rPr>
          <w:rFonts w:eastAsia="Calibri"/>
        </w:rPr>
        <w:t>:</w:t>
      </w:r>
      <w:r w:rsidRPr="00B25AA5">
        <w:rPr>
          <w:rFonts w:eastAsia="Calibri"/>
        </w:rPr>
        <w:t xml:space="preserve"> Nearly all Downtown trip generators rely upon a consolidated inventory of shared public parking</w:t>
      </w:r>
      <w:r w:rsidRPr="003C4CB7">
        <w:rPr>
          <w:rFonts w:eastAsia="Calibri"/>
        </w:rPr>
        <w:t>; and</w:t>
      </w:r>
    </w:p>
    <w:p w:rsidR="005123BD" w:rsidRPr="003C4CB7" w:rsidRDefault="005123BD" w:rsidP="005123BD">
      <w:pPr>
        <w:pStyle w:val="NNBullets"/>
        <w:tabs>
          <w:tab w:val="num" w:pos="720"/>
          <w:tab w:val="left" w:pos="1170"/>
        </w:tabs>
        <w:spacing w:after="120"/>
        <w:rPr>
          <w:rFonts w:eastAsia="Calibri"/>
        </w:rPr>
      </w:pPr>
      <w:r w:rsidRPr="00B25AA5">
        <w:rPr>
          <w:rFonts w:eastAsia="Calibri"/>
        </w:rPr>
        <w:t xml:space="preserve">Public </w:t>
      </w:r>
      <w:r w:rsidRPr="003C4CB7">
        <w:rPr>
          <w:rFonts w:eastAsia="Calibri"/>
        </w:rPr>
        <w:t>Management</w:t>
      </w:r>
      <w:r w:rsidR="006F4171">
        <w:rPr>
          <w:rFonts w:eastAsia="Calibri"/>
        </w:rPr>
        <w:t>:</w:t>
      </w:r>
      <w:r w:rsidRPr="00B25AA5">
        <w:rPr>
          <w:rFonts w:eastAsia="Calibri"/>
        </w:rPr>
        <w:t xml:space="preserve"> All public off-street parking facilities are </w:t>
      </w:r>
      <w:r w:rsidRPr="003C4CB7">
        <w:rPr>
          <w:rFonts w:eastAsia="Calibri"/>
        </w:rPr>
        <w:t>owned and managed by the DDA.</w:t>
      </w:r>
    </w:p>
    <w:p w:rsidR="005123BD" w:rsidRPr="003C4CB7" w:rsidRDefault="005123BD" w:rsidP="005123BD">
      <w:pPr>
        <w:pStyle w:val="NNBullets"/>
        <w:tabs>
          <w:tab w:val="num" w:pos="720"/>
          <w:tab w:val="left" w:pos="1170"/>
        </w:tabs>
        <w:spacing w:after="120"/>
        <w:rPr>
          <w:rFonts w:eastAsia="Calibri"/>
        </w:rPr>
      </w:pPr>
      <w:r w:rsidRPr="003C4CB7">
        <w:rPr>
          <w:rFonts w:eastAsia="Calibri"/>
        </w:rPr>
        <w:t>Choic</w:t>
      </w:r>
      <w:r w:rsidR="006F4171">
        <w:rPr>
          <w:rFonts w:eastAsia="Calibri"/>
        </w:rPr>
        <w:t>e:</w:t>
      </w:r>
      <w:r w:rsidRPr="003C4CB7">
        <w:rPr>
          <w:rFonts w:eastAsia="Calibri"/>
        </w:rPr>
        <w:t xml:space="preserve"> The DDA offers several different types of monthly parking permits and different hourly parking rates at different times of day or location to provide patrons with opportunities to select the option that best meets their needs based on desire for more/less convenience, price, etc.  </w:t>
      </w:r>
    </w:p>
    <w:p w:rsidR="005123BD" w:rsidRDefault="005123BD" w:rsidP="005123BD">
      <w:pPr>
        <w:pStyle w:val="NNMainBody"/>
        <w:spacing w:line="276" w:lineRule="auto"/>
      </w:pPr>
      <w:r>
        <w:rPr>
          <w:rFonts w:cs="Arial"/>
          <w:szCs w:val="22"/>
        </w:rPr>
        <w:t xml:space="preserve">The DDA has invested in parking. For example, </w:t>
      </w:r>
      <w:r w:rsidRPr="002C0246">
        <w:t>The DDA is currently building a new, 67</w:t>
      </w:r>
      <w:r>
        <w:t>0-</w:t>
      </w:r>
      <w:r w:rsidRPr="002C0246">
        <w:t xml:space="preserve">space underground parking structure as part of a larger project intended to encourage redevelopment of a center city core area. The project includes three new water mains, extensive electrical infrastructure, added structural support for a future building at grade, a new midblock street, </w:t>
      </w:r>
      <w:r w:rsidR="00174842">
        <w:t xml:space="preserve">a </w:t>
      </w:r>
      <w:r w:rsidRPr="002C0246">
        <w:t>new alley</w:t>
      </w:r>
      <w:r w:rsidR="00174842">
        <w:t>,</w:t>
      </w:r>
      <w:r w:rsidRPr="002C0246">
        <w:t xml:space="preserve"> and pedestrian improvements. In keeping with its long-held separation of funds, the new parking structure portion of this project will be fully paid for with parking revenues generated by the users of the public parking system, with no use of tax dollars. </w:t>
      </w:r>
    </w:p>
    <w:p w:rsidR="005123BD" w:rsidRPr="003C4CB7" w:rsidRDefault="005123BD" w:rsidP="005123BD">
      <w:pPr>
        <w:pStyle w:val="NNMainBody"/>
      </w:pPr>
      <w:r w:rsidRPr="002C0246">
        <w:t xml:space="preserve">In 2000, the DDA began funding Transportation Demand Management (TDM) investments as a means to reduce demand for parking expansions and to meet the needs of downtown users who choose not to or can’t afford to park. It has found that addressing parking demand is more often than not much cheaper than building </w:t>
      </w:r>
      <w:r w:rsidRPr="003C4CB7">
        <w:t xml:space="preserve">and maintaining new supplies. Two of the longest-standing and </w:t>
      </w:r>
      <w:r w:rsidR="00174842">
        <w:t xml:space="preserve">most </w:t>
      </w:r>
      <w:r w:rsidRPr="003C4CB7">
        <w:t xml:space="preserve">successful investments </w:t>
      </w:r>
      <w:r w:rsidR="00174842">
        <w:t xml:space="preserve">have </w:t>
      </w:r>
      <w:r w:rsidRPr="003C4CB7">
        <w:t>been a Universal Transit Pass program (the Go!Pass) and a Commuter Benefits information clearinghouse and marketing service (getDowntown).</w:t>
      </w:r>
    </w:p>
    <w:p w:rsidR="005123BD" w:rsidRPr="003C4CA0" w:rsidRDefault="005123BD" w:rsidP="005123BD">
      <w:pPr>
        <w:ind w:left="720"/>
        <w:rPr>
          <w:rFonts w:cs="Arial"/>
          <w:szCs w:val="22"/>
        </w:rPr>
      </w:pPr>
      <w:r w:rsidRPr="003C4CA0">
        <w:rPr>
          <w:rFonts w:cs="Arial"/>
          <w:b/>
          <w:szCs w:val="22"/>
        </w:rPr>
        <w:t>Go!Pass</w:t>
      </w:r>
      <w:r w:rsidR="00AE7D95">
        <w:rPr>
          <w:rFonts w:cs="Arial"/>
          <w:b/>
          <w:szCs w:val="22"/>
        </w:rPr>
        <w:t>:</w:t>
      </w:r>
      <w:r w:rsidRPr="003C4CA0">
        <w:rPr>
          <w:rFonts w:cs="Arial"/>
          <w:b/>
          <w:szCs w:val="22"/>
        </w:rPr>
        <w:t xml:space="preserve"> </w:t>
      </w:r>
      <w:r w:rsidRPr="003C4CA0">
        <w:rPr>
          <w:rFonts w:cs="Arial"/>
          <w:szCs w:val="22"/>
        </w:rPr>
        <w:t xml:space="preserve">The DDA, the </w:t>
      </w:r>
      <w:r w:rsidR="00AE7D95">
        <w:rPr>
          <w:rFonts w:cs="Arial"/>
          <w:szCs w:val="22"/>
        </w:rPr>
        <w:t>Ann Arbor Transit Authority (</w:t>
      </w:r>
      <w:r w:rsidRPr="003C4CA0">
        <w:rPr>
          <w:rFonts w:cs="Arial"/>
          <w:szCs w:val="22"/>
        </w:rPr>
        <w:t>AATA</w:t>
      </w:r>
      <w:r w:rsidR="00AE7D95">
        <w:rPr>
          <w:rFonts w:cs="Arial"/>
          <w:szCs w:val="22"/>
        </w:rPr>
        <w:t>)</w:t>
      </w:r>
      <w:r w:rsidRPr="003C4CA0">
        <w:rPr>
          <w:rFonts w:cs="Arial"/>
          <w:szCs w:val="22"/>
        </w:rPr>
        <w:t xml:space="preserve">, and the getDowntown program launched the </w:t>
      </w:r>
      <w:r w:rsidR="00AE7D95">
        <w:rPr>
          <w:rFonts w:cs="Arial"/>
          <w:szCs w:val="22"/>
        </w:rPr>
        <w:t>G</w:t>
      </w:r>
      <w:r w:rsidRPr="003C4CA0">
        <w:rPr>
          <w:rFonts w:cs="Arial"/>
          <w:szCs w:val="22"/>
        </w:rPr>
        <w:t>o!</w:t>
      </w:r>
      <w:r w:rsidR="00AE7D95">
        <w:rPr>
          <w:rFonts w:cs="Arial"/>
          <w:szCs w:val="22"/>
        </w:rPr>
        <w:t>P</w:t>
      </w:r>
      <w:r w:rsidRPr="003C4CA0">
        <w:rPr>
          <w:rFonts w:cs="Arial"/>
          <w:szCs w:val="22"/>
        </w:rPr>
        <w:t>ass, universal transit pass</w:t>
      </w:r>
      <w:r w:rsidR="00AE7D95">
        <w:rPr>
          <w:rFonts w:cs="Arial"/>
          <w:szCs w:val="22"/>
        </w:rPr>
        <w:t>,</w:t>
      </w:r>
      <w:r w:rsidRPr="003C4CA0">
        <w:rPr>
          <w:rFonts w:cs="Arial"/>
          <w:szCs w:val="22"/>
        </w:rPr>
        <w:t xml:space="preserve"> offering unlimited rides for a small annual employer-paid fee</w:t>
      </w:r>
      <w:r w:rsidRPr="003C4CA0">
        <w:rPr>
          <w:rStyle w:val="FootnoteReference"/>
          <w:rFonts w:eastAsiaTheme="majorEastAsia" w:cs="Arial"/>
          <w:szCs w:val="22"/>
        </w:rPr>
        <w:footnoteReference w:id="3"/>
      </w:r>
      <w:r w:rsidRPr="003C4CA0">
        <w:rPr>
          <w:rFonts w:cs="Arial"/>
          <w:szCs w:val="22"/>
        </w:rPr>
        <w:t xml:space="preserve">, in the fall of 1999. As of 2009, there were approximately 6,000 </w:t>
      </w:r>
      <w:r w:rsidR="00AE7D95">
        <w:rPr>
          <w:rFonts w:cs="Arial"/>
          <w:szCs w:val="22"/>
        </w:rPr>
        <w:t>G</w:t>
      </w:r>
      <w:r w:rsidRPr="003C4CA0">
        <w:rPr>
          <w:rFonts w:cs="Arial"/>
          <w:szCs w:val="22"/>
        </w:rPr>
        <w:t>o!</w:t>
      </w:r>
      <w:r w:rsidR="00AE7D95">
        <w:rPr>
          <w:rFonts w:cs="Arial"/>
          <w:szCs w:val="22"/>
        </w:rPr>
        <w:t>P</w:t>
      </w:r>
      <w:r w:rsidRPr="003C4CA0">
        <w:rPr>
          <w:rFonts w:cs="Arial"/>
          <w:szCs w:val="22"/>
        </w:rPr>
        <w:t xml:space="preserve">asses in use. The DDA subsidizes 90% of the cost for the go!pass.  </w:t>
      </w:r>
    </w:p>
    <w:p w:rsidR="005123BD" w:rsidRPr="003C4CA0" w:rsidRDefault="005123BD" w:rsidP="005123BD">
      <w:pPr>
        <w:ind w:left="720"/>
        <w:rPr>
          <w:szCs w:val="20"/>
        </w:rPr>
      </w:pPr>
      <w:r w:rsidRPr="003C4CA0">
        <w:rPr>
          <w:rFonts w:cs="Arial"/>
          <w:b/>
          <w:szCs w:val="22"/>
        </w:rPr>
        <w:t>getDowntown</w:t>
      </w:r>
      <w:r w:rsidR="00AE7D95">
        <w:rPr>
          <w:rFonts w:cs="Arial"/>
          <w:b/>
          <w:szCs w:val="22"/>
        </w:rPr>
        <w:t>:</w:t>
      </w:r>
      <w:r w:rsidRPr="003C4CA0">
        <w:rPr>
          <w:rFonts w:cs="Arial"/>
          <w:szCs w:val="22"/>
        </w:rPr>
        <w:t xml:space="preserve"> The getDowntown program was launched by the Ann Arbor Area Chamber of Commerce, the DDA, the City, and AATA in 1999 to reduce the number of downtown commuters driving to work and to create more transportation choices for downtown commuters through promoting existing transportation options and advocating for new ones. getDowntown strives to accomplish this mission by promoting existing choices, providing research on the benefits of sustainable transportation, organizing events, interacting with downtown employers and employees, and interfacing with numerous downtown stakeholders. The program provides a wide range of services for </w:t>
      </w:r>
      <w:r w:rsidR="00AE7D95">
        <w:rPr>
          <w:rFonts w:cs="Arial"/>
          <w:szCs w:val="22"/>
        </w:rPr>
        <w:t>d</w:t>
      </w:r>
      <w:r w:rsidRPr="003C4CA0">
        <w:rPr>
          <w:rFonts w:cs="Arial"/>
          <w:szCs w:val="22"/>
        </w:rPr>
        <w:t xml:space="preserve">owntown employers, employees, and property managers. It advises </w:t>
      </w:r>
      <w:r w:rsidR="00AE7D95">
        <w:rPr>
          <w:rFonts w:cs="Arial"/>
          <w:szCs w:val="22"/>
        </w:rPr>
        <w:t>d</w:t>
      </w:r>
      <w:r w:rsidRPr="003C4CA0">
        <w:rPr>
          <w:rFonts w:cs="Arial"/>
          <w:szCs w:val="22"/>
        </w:rPr>
        <w:t>owntown property owners on ways to reduce the need</w:t>
      </w:r>
      <w:r w:rsidRPr="003C4CA0">
        <w:rPr>
          <w:szCs w:val="20"/>
        </w:rPr>
        <w:t xml:space="preserve"> for tenant parking and provides information and assistance to downtown businesses and employees on commuting options, such as</w:t>
      </w:r>
      <w:r w:rsidRPr="007B7C6A">
        <w:rPr>
          <w:szCs w:val="20"/>
        </w:rPr>
        <w:t xml:space="preserve"> </w:t>
      </w:r>
      <w:r w:rsidRPr="003C4CA0">
        <w:rPr>
          <w:szCs w:val="20"/>
        </w:rPr>
        <w:lastRenderedPageBreak/>
        <w:t xml:space="preserve">biking, riding the bus, walking, and ridesharing. The DDA provides significant operational funding for the program, in addition to grants for promotional events and studies.  </w:t>
      </w:r>
    </w:p>
    <w:p w:rsidR="005123BD" w:rsidRPr="007B7C6A" w:rsidRDefault="005123BD" w:rsidP="005123BD">
      <w:pPr>
        <w:pStyle w:val="NNMainBody"/>
      </w:pPr>
      <w:r>
        <w:t xml:space="preserve">Two more recent examples of significant investments are financial support for new commuter-express bus service to downtown and expansion of bicycle parking facilities, including on-street racks. </w:t>
      </w:r>
    </w:p>
    <w:p w:rsidR="005123BD" w:rsidRPr="003C4CA0" w:rsidRDefault="005123BD" w:rsidP="005123BD">
      <w:pPr>
        <w:ind w:left="720"/>
        <w:rPr>
          <w:szCs w:val="20"/>
        </w:rPr>
      </w:pPr>
      <w:r w:rsidRPr="003C4CA0">
        <w:rPr>
          <w:b/>
          <w:szCs w:val="20"/>
        </w:rPr>
        <w:t>A2 Express Service</w:t>
      </w:r>
      <w:r w:rsidR="00AE7D95">
        <w:rPr>
          <w:b/>
          <w:szCs w:val="20"/>
        </w:rPr>
        <w:t>:</w:t>
      </w:r>
      <w:r w:rsidRPr="003C4CA0">
        <w:rPr>
          <w:b/>
          <w:szCs w:val="20"/>
        </w:rPr>
        <w:t xml:space="preserve"> </w:t>
      </w:r>
      <w:r w:rsidRPr="003C4CA0">
        <w:rPr>
          <w:szCs w:val="20"/>
        </w:rPr>
        <w:t xml:space="preserve">Beginning in 2007, DDA funding helped the </w:t>
      </w:r>
      <w:r w:rsidR="00AE7D95">
        <w:rPr>
          <w:szCs w:val="20"/>
        </w:rPr>
        <w:t>AATA</w:t>
      </w:r>
      <w:r w:rsidRPr="003C4CA0">
        <w:rPr>
          <w:szCs w:val="20"/>
        </w:rPr>
        <w:t xml:space="preserve"> inaugurate a new type of bus service for downtown and the University of Michigan Central Campus from communities outside Ann Arbor</w:t>
      </w:r>
      <w:r w:rsidR="00AE7D95">
        <w:rPr>
          <w:szCs w:val="20"/>
        </w:rPr>
        <w:t>: a</w:t>
      </w:r>
      <w:r w:rsidRPr="003C4CA0">
        <w:rPr>
          <w:szCs w:val="20"/>
        </w:rPr>
        <w:t xml:space="preserve"> commuter, express service provided via first-rate. “over-the-road” coach buses. This service tapped directly into sentiments expressed by commuters who would prefer to use transit but found existing service travel times too much of a barrier. Several commuters made clear that, for a monthly cost comparable to monthly permit rates, and travel times not too much higher than driv</w:t>
      </w:r>
      <w:r w:rsidR="00AE7D95">
        <w:rPr>
          <w:szCs w:val="20"/>
        </w:rPr>
        <w:t>ing</w:t>
      </w:r>
      <w:r w:rsidRPr="003C4CA0">
        <w:rPr>
          <w:szCs w:val="20"/>
        </w:rPr>
        <w:t>, they would gladly opt for bus service that would allow them to read, knit, or sleep on the way. Beginning with one route, and expanding to two routes in 2009, the A2 Express Service began to test this demand, bringing competitive bus service to the suburban market. Unlimited ride passes cost $125 ($5 cheaper than a standard garage permit). With a Go!Pass card, the fare is halved to $62.50, a subsidy that is provided by the DDA.</w:t>
      </w:r>
    </w:p>
    <w:p w:rsidR="005123BD" w:rsidRPr="001D064F" w:rsidRDefault="005123BD" w:rsidP="005123BD">
      <w:pPr>
        <w:ind w:left="720"/>
        <w:rPr>
          <w:szCs w:val="20"/>
        </w:rPr>
      </w:pPr>
      <w:r w:rsidRPr="001D064F">
        <w:rPr>
          <w:b/>
          <w:szCs w:val="20"/>
        </w:rPr>
        <w:t>Bicycle Parking</w:t>
      </w:r>
      <w:r w:rsidR="00AE7D95">
        <w:rPr>
          <w:b/>
          <w:szCs w:val="20"/>
        </w:rPr>
        <w:t>:</w:t>
      </w:r>
      <w:r w:rsidRPr="001D064F">
        <w:rPr>
          <w:szCs w:val="20"/>
        </w:rPr>
        <w:t xml:space="preserve"> In summer 2009, the DDA installed three new bicycle parking options to add to those already in place. Taking a cue from Seattle and other communities, several on-street bicycle-parking racks were placed in metered spaces throughout the downtown to further enhance the popularity of bicycle commuting in downtown and to relieve pressure on sidewalks swamped with full bike racks. The racks accommodate up to 14 bicycles in the space that would otherwise accommodate a single car. They will remain in place during warm weather months, when bicycling is more popular, and removed when cold weather decreases cycle-parking demand to allow for snow plowing and other maintenance. In another project copied from other communities, the DDA installed new bike hoops on the posts that serve as parking space numbers for the e-park system noted above.</w:t>
      </w:r>
    </w:p>
    <w:p w:rsidR="005123BD" w:rsidRDefault="005123BD" w:rsidP="005123BD">
      <w:pPr>
        <w:pStyle w:val="NNMainBody"/>
        <w:spacing w:line="276" w:lineRule="auto"/>
        <w:rPr>
          <w:rFonts w:cs="Arial"/>
          <w:szCs w:val="22"/>
        </w:rPr>
      </w:pPr>
      <w:r>
        <w:rPr>
          <w:rFonts w:cs="Arial"/>
          <w:szCs w:val="22"/>
        </w:rPr>
        <w:t xml:space="preserve">Ann Arbor’s downtown </w:t>
      </w:r>
      <w:r w:rsidR="000569A7">
        <w:rPr>
          <w:rFonts w:cs="Arial"/>
          <w:szCs w:val="22"/>
        </w:rPr>
        <w:t xml:space="preserve">demonstrates how increased transit ridership and new transit service can be driven without </w:t>
      </w:r>
      <w:r w:rsidR="00520ACE">
        <w:rPr>
          <w:rFonts w:cs="Arial"/>
          <w:szCs w:val="22"/>
        </w:rPr>
        <w:t>a</w:t>
      </w:r>
      <w:r w:rsidR="000569A7">
        <w:rPr>
          <w:rFonts w:cs="Arial"/>
          <w:szCs w:val="22"/>
        </w:rPr>
        <w:t xml:space="preserve"> reliance on commuter parking</w:t>
      </w:r>
      <w:r w:rsidR="00520ACE">
        <w:rPr>
          <w:rFonts w:cs="Arial"/>
          <w:szCs w:val="22"/>
        </w:rPr>
        <w:t xml:space="preserve"> supplies. The DDA realized that providing transit, biking, and walking facilities was far more cost-effective per commuter than building more parking garages</w:t>
      </w:r>
      <w:r>
        <w:rPr>
          <w:rFonts w:cs="Arial"/>
          <w:szCs w:val="22"/>
        </w:rPr>
        <w:t>.</w:t>
      </w:r>
    </w:p>
    <w:p w:rsidR="005123BD" w:rsidRDefault="003F5418" w:rsidP="003F5418">
      <w:pPr>
        <w:pStyle w:val="NNPTask"/>
      </w:pPr>
      <w:r>
        <w:t xml:space="preserve">Transit-Oriented Development, </w:t>
      </w:r>
      <w:r w:rsidR="005123BD">
        <w:t>Arlington VA</w:t>
      </w:r>
    </w:p>
    <w:p w:rsidR="005123BD" w:rsidRPr="00F311E4" w:rsidRDefault="005123BD" w:rsidP="008F1B26">
      <w:pPr>
        <w:pStyle w:val="NNMainBody"/>
      </w:pPr>
      <w:r w:rsidRPr="00F311E4">
        <w:t>Arlington County provides one of the most successful examples in the United States of</w:t>
      </w:r>
      <w:r>
        <w:t xml:space="preserve"> </w:t>
      </w:r>
      <w:r w:rsidRPr="00F311E4">
        <w:t xml:space="preserve">development tied to transit. Nearly 18,000 </w:t>
      </w:r>
      <w:r w:rsidRPr="008F1B26">
        <w:t>residential</w:t>
      </w:r>
      <w:r w:rsidRPr="00F311E4">
        <w:t xml:space="preserve"> units, almost 14 million square feet</w:t>
      </w:r>
      <w:r>
        <w:t xml:space="preserve"> </w:t>
      </w:r>
      <w:r w:rsidRPr="00F311E4">
        <w:t>of offices, 1.5 million square feet of retail</w:t>
      </w:r>
      <w:r w:rsidR="00520ACE">
        <w:t>,</w:t>
      </w:r>
      <w:r w:rsidRPr="00F311E4">
        <w:t xml:space="preserve"> and 1,218 hotel rooms have been built since the</w:t>
      </w:r>
      <w:r>
        <w:t xml:space="preserve"> </w:t>
      </w:r>
      <w:r w:rsidRPr="00F311E4">
        <w:t xml:space="preserve">start of the 1980s in the area served by </w:t>
      </w:r>
      <w:r w:rsidR="00520ACE">
        <w:t xml:space="preserve">the </w:t>
      </w:r>
      <w:r w:rsidRPr="00F311E4">
        <w:t>Rosslyn, Court House, Clarendon, Virginia</w:t>
      </w:r>
      <w:r>
        <w:t xml:space="preserve"> </w:t>
      </w:r>
      <w:r w:rsidRPr="00F311E4">
        <w:t>Square</w:t>
      </w:r>
      <w:r w:rsidR="00520ACE">
        <w:t>,</w:t>
      </w:r>
      <w:r w:rsidRPr="00F311E4">
        <w:t xml:space="preserve"> and Ballston stations</w:t>
      </w:r>
      <w:r w:rsidR="00520ACE">
        <w:t xml:space="preserve"> of Washington DC’s MetroRail system</w:t>
      </w:r>
      <w:r w:rsidRPr="00F311E4">
        <w:t xml:space="preserve">. </w:t>
      </w:r>
    </w:p>
    <w:p w:rsidR="005123BD" w:rsidRDefault="005123BD" w:rsidP="00520ACE">
      <w:pPr>
        <w:pStyle w:val="NNMainBody"/>
      </w:pPr>
      <w:r w:rsidRPr="00F311E4">
        <w:t xml:space="preserve">This degree of success would not have been possible without the </w:t>
      </w:r>
      <w:r w:rsidR="003F5418">
        <w:t xml:space="preserve">protective </w:t>
      </w:r>
      <w:r w:rsidRPr="00F311E4">
        <w:t>planning decisions</w:t>
      </w:r>
      <w:r>
        <w:t xml:space="preserve"> </w:t>
      </w:r>
      <w:r w:rsidRPr="00F311E4">
        <w:t>taken in the 1960s regarding Metrorail. At the time, the Rosslyn-Ballston corridor was an</w:t>
      </w:r>
      <w:r>
        <w:t xml:space="preserve"> </w:t>
      </w:r>
      <w:r w:rsidRPr="00F311E4">
        <w:t>aging, low-density commercial stretch that was facing decline and losing population and</w:t>
      </w:r>
      <w:r>
        <w:t xml:space="preserve"> </w:t>
      </w:r>
      <w:r w:rsidRPr="00F311E4">
        <w:t>retail business. In a move to support this corridor and spur future development, County</w:t>
      </w:r>
      <w:r>
        <w:t xml:space="preserve"> </w:t>
      </w:r>
      <w:r w:rsidRPr="00F311E4">
        <w:t>leaders insisted that Metro be built underground, rather than in freeway medians.</w:t>
      </w:r>
      <w:r w:rsidR="003F5418">
        <w:t xml:space="preserve"> Meanwhile, residents demanded that their abutting single-family neighborhoods be protected from new development.</w:t>
      </w:r>
    </w:p>
    <w:p w:rsidR="005123BD" w:rsidRDefault="003F5418" w:rsidP="008F1B26">
      <w:pPr>
        <w:pStyle w:val="NNMainBody"/>
      </w:pPr>
      <w:r>
        <w:t>T</w:t>
      </w:r>
      <w:r w:rsidR="005123BD" w:rsidRPr="00F311E4">
        <w:t xml:space="preserve">he County </w:t>
      </w:r>
      <w:r>
        <w:t xml:space="preserve">was only able to </w:t>
      </w:r>
      <w:r w:rsidR="005123BD" w:rsidRPr="00F311E4">
        <w:t>channel</w:t>
      </w:r>
      <w:r>
        <w:t xml:space="preserve"> new </w:t>
      </w:r>
      <w:r w:rsidR="005123BD" w:rsidRPr="00F311E4">
        <w:t xml:space="preserve">development </w:t>
      </w:r>
      <w:r>
        <w:t xml:space="preserve">in the narrow strip of land </w:t>
      </w:r>
      <w:r w:rsidR="005123BD" w:rsidRPr="00F311E4">
        <w:t xml:space="preserve">along the </w:t>
      </w:r>
      <w:r>
        <w:t>corridor, severely limiting the ability to build parking as well as new development</w:t>
      </w:r>
      <w:r w:rsidR="005123BD" w:rsidRPr="00F311E4">
        <w:t xml:space="preserve">. </w:t>
      </w:r>
      <w:r>
        <w:t xml:space="preserve">The solution is one of the best TOD success stories in the U.S. </w:t>
      </w:r>
      <w:r w:rsidR="005123BD" w:rsidRPr="00F311E4">
        <w:t>Over</w:t>
      </w:r>
      <w:r w:rsidR="005123BD">
        <w:t xml:space="preserve"> </w:t>
      </w:r>
      <w:r w:rsidR="005123BD" w:rsidRPr="00F311E4">
        <w:t xml:space="preserve">and above the stations, </w:t>
      </w:r>
      <w:r>
        <w:t xml:space="preserve">the County </w:t>
      </w:r>
      <w:r w:rsidR="005123BD" w:rsidRPr="00F311E4">
        <w:t>promoted high density development, with floor area ratios</w:t>
      </w:r>
      <w:r w:rsidR="005123BD">
        <w:t xml:space="preserve"> </w:t>
      </w:r>
      <w:r w:rsidR="005123BD" w:rsidRPr="00F311E4">
        <w:t xml:space="preserve">of 4.0-10.0 and 15-20 stories </w:t>
      </w:r>
      <w:r>
        <w:t xml:space="preserve">of </w:t>
      </w:r>
      <w:r>
        <w:lastRenderedPageBreak/>
        <w:t>development</w:t>
      </w:r>
      <w:r w:rsidR="005123BD" w:rsidRPr="00F311E4">
        <w:t xml:space="preserve">. </w:t>
      </w:r>
      <w:r w:rsidR="008F1B26">
        <w:t>By design, d</w:t>
      </w:r>
      <w:r w:rsidR="005123BD" w:rsidRPr="00F311E4">
        <w:t xml:space="preserve">ensities </w:t>
      </w:r>
      <w:r w:rsidR="008F1B26">
        <w:t xml:space="preserve">and height </w:t>
      </w:r>
      <w:r w:rsidR="005123BD" w:rsidRPr="00F311E4">
        <w:t>then rapidly taper down</w:t>
      </w:r>
      <w:r w:rsidR="008F1B26">
        <w:t>,</w:t>
      </w:r>
      <w:r w:rsidR="005123BD" w:rsidRPr="00F311E4">
        <w:t xml:space="preserve"> </w:t>
      </w:r>
      <w:r w:rsidR="008F1B26">
        <w:t xml:space="preserve">eventually ending with </w:t>
      </w:r>
      <w:r w:rsidR="005123BD" w:rsidRPr="00F311E4">
        <w:t>townhouses</w:t>
      </w:r>
      <w:r w:rsidR="005123BD">
        <w:t xml:space="preserve"> </w:t>
      </w:r>
      <w:r w:rsidR="008F1B26">
        <w:t xml:space="preserve">closest to the </w:t>
      </w:r>
      <w:r w:rsidR="005123BD" w:rsidRPr="00F311E4">
        <w:t>existing single-family residential areas.</w:t>
      </w:r>
    </w:p>
    <w:p w:rsidR="008F1B26" w:rsidRDefault="008F1B26" w:rsidP="008F1B26">
      <w:pPr>
        <w:pStyle w:val="NNMainBody"/>
      </w:pPr>
      <w:r>
        <w:t>Key to sustaining this development was minimizing the cost and space dedicated to parking supply. Therefore, nearly all commercial parking is in shared garages with no provisio</w:t>
      </w:r>
      <w:r w:rsidR="004C24A1">
        <w:t>n for commuters. All on- and off-</w:t>
      </w:r>
      <w:r>
        <w:t>street parking is priced cheaply for short stays but escalates significantly to discourage commuter parking.</w:t>
      </w:r>
    </w:p>
    <w:p w:rsidR="005123BD" w:rsidRDefault="005123BD" w:rsidP="008F1B26">
      <w:pPr>
        <w:pStyle w:val="NNMainBody"/>
      </w:pPr>
      <w:r w:rsidRPr="00F311E4">
        <w:t xml:space="preserve">Transit ridership has increased rapidly as a result (Figure </w:t>
      </w:r>
      <w:r w:rsidR="008F1B26">
        <w:t>6</w:t>
      </w:r>
      <w:r w:rsidRPr="00F311E4">
        <w:t>). Most importantly, the</w:t>
      </w:r>
      <w:r>
        <w:t xml:space="preserve"> </w:t>
      </w:r>
      <w:r w:rsidRPr="00F311E4">
        <w:t>mixed</w:t>
      </w:r>
      <w:r w:rsidR="0096558B">
        <w:t>-</w:t>
      </w:r>
      <w:r w:rsidRPr="00F311E4">
        <w:t>use nature of Arlington’s transit</w:t>
      </w:r>
      <w:r w:rsidR="0096558B">
        <w:t>-</w:t>
      </w:r>
      <w:r w:rsidRPr="00F311E4">
        <w:t>oriented development has promoted balanced</w:t>
      </w:r>
      <w:r>
        <w:t xml:space="preserve"> </w:t>
      </w:r>
      <w:r w:rsidRPr="00F311E4">
        <w:t>ridership over the course of the day</w:t>
      </w:r>
      <w:r w:rsidR="0096558B">
        <w:t>,</w:t>
      </w:r>
      <w:r w:rsidRPr="00F311E4">
        <w:t xml:space="preserve"> rather than the sharp </w:t>
      </w:r>
      <w:r w:rsidR="0096558B">
        <w:t xml:space="preserve">AM and PM </w:t>
      </w:r>
      <w:r w:rsidRPr="00F311E4">
        <w:t>peaking experienced at more</w:t>
      </w:r>
      <w:r>
        <w:t xml:space="preserve"> </w:t>
      </w:r>
      <w:r w:rsidRPr="00F311E4">
        <w:t>park-and-ride oriented Metro</w:t>
      </w:r>
      <w:r w:rsidR="0096558B">
        <w:t>Rail</w:t>
      </w:r>
      <w:r w:rsidRPr="00F311E4">
        <w:t xml:space="preserve"> stations. </w:t>
      </w:r>
      <w:r w:rsidR="0096558B">
        <w:t xml:space="preserve">Therefore, MetroRail ridership on the corridor is strong during off-peak hours as well as peak due to many midday trips occurring by transit rather than car. </w:t>
      </w:r>
      <w:r w:rsidRPr="00F311E4">
        <w:t>The Ballston station is a good example of a mixed</w:t>
      </w:r>
      <w:r w:rsidR="0096558B">
        <w:t>-</w:t>
      </w:r>
      <w:r w:rsidRPr="00F311E4">
        <w:t xml:space="preserve">use station area with balanced ridership. </w:t>
      </w:r>
      <w:r w:rsidR="0096558B">
        <w:t>N</w:t>
      </w:r>
      <w:r w:rsidRPr="00F311E4">
        <w:t>early two-thirds of</w:t>
      </w:r>
      <w:r>
        <w:t xml:space="preserve"> </w:t>
      </w:r>
      <w:r w:rsidRPr="00F311E4">
        <w:t>riders at Ballston station walk to the Metro.</w:t>
      </w:r>
    </w:p>
    <w:p w:rsidR="005123BD" w:rsidRDefault="005123BD" w:rsidP="005123BD">
      <w:pPr>
        <w:autoSpaceDE w:val="0"/>
        <w:autoSpaceDN w:val="0"/>
        <w:adjustRightInd w:val="0"/>
        <w:spacing w:before="0" w:after="0"/>
        <w:rPr>
          <w:rFonts w:cs="Arial"/>
          <w:szCs w:val="22"/>
        </w:rPr>
      </w:pPr>
      <w:r>
        <w:rPr>
          <w:rFonts w:cs="Arial"/>
          <w:szCs w:val="22"/>
        </w:rPr>
        <w:t xml:space="preserve">The effect of such policies can be seen when comparing to Fairfax County, which surrounds Arlington: </w:t>
      </w:r>
    </w:p>
    <w:p w:rsidR="008F1B26" w:rsidRDefault="008F1B26" w:rsidP="008F1B26">
      <w:pPr>
        <w:pStyle w:val="Caption"/>
      </w:pPr>
      <w:r>
        <w:t>Figure 6: Ridership Surveys on Virginia MetroRail Stations</w:t>
      </w:r>
    </w:p>
    <w:p w:rsidR="005123BD" w:rsidRDefault="005123BD" w:rsidP="005123BD">
      <w:pPr>
        <w:autoSpaceDE w:val="0"/>
        <w:autoSpaceDN w:val="0"/>
        <w:adjustRightInd w:val="0"/>
        <w:spacing w:before="0" w:after="0"/>
        <w:rPr>
          <w:rFonts w:cs="Arial"/>
          <w:szCs w:val="22"/>
        </w:rPr>
      </w:pPr>
      <w:r w:rsidRPr="007B6097">
        <w:rPr>
          <w:rFonts w:cs="Arial"/>
          <w:noProof/>
          <w:szCs w:val="22"/>
        </w:rPr>
        <w:drawing>
          <wp:inline distT="0" distB="0" distL="0" distR="0">
            <wp:extent cx="5238206" cy="3624943"/>
            <wp:effectExtent l="0" t="0" r="544" b="0"/>
            <wp:docPr id="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6111449"/>
                      <a:chOff x="0" y="284550"/>
                      <a:chExt cx="8915400" cy="6111449"/>
                    </a:xfrm>
                  </a:grpSpPr>
                  <a:sp>
                    <a:nvSpPr>
                      <a:cNvPr id="486402" name="Rectangle 2"/>
                      <a:cNvSpPr>
                        <a:spLocks noGrp="1" noChangeArrowheads="1"/>
                      </a:cNvSpPr>
                    </a:nvSpPr>
                    <a:spPr bwMode="auto">
                      <a:xfrm>
                        <a:off x="228600" y="284550"/>
                        <a:ext cx="8610600" cy="6858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l" rtl="0" eaLnBrk="0" fontAlgn="base" hangingPunct="0">
                            <a:spcBef>
                              <a:spcPct val="0"/>
                            </a:spcBef>
                            <a:spcAft>
                              <a:spcPct val="0"/>
                            </a:spcAft>
                            <a:defRPr sz="3200" b="1">
                              <a:solidFill>
                                <a:sysClr val="windowText" lastClr="000000"/>
                              </a:solidFill>
                              <a:latin typeface="+mj-lt"/>
                              <a:ea typeface="+mj-ea"/>
                              <a:cs typeface="+mj-cs"/>
                            </a:defRPr>
                          </a:lvl1pPr>
                          <a:lvl2pPr algn="l" rtl="0" eaLnBrk="0" fontAlgn="base" hangingPunct="0">
                            <a:spcBef>
                              <a:spcPct val="0"/>
                            </a:spcBef>
                            <a:spcAft>
                              <a:spcPct val="0"/>
                            </a:spcAft>
                            <a:defRPr sz="3200" b="1">
                              <a:solidFill>
                                <a:srgbClr val="FFFFFF"/>
                              </a:solidFill>
                              <a:latin typeface="Tahoma" pitchFamily="34" charset="0"/>
                            </a:defRPr>
                          </a:lvl2pPr>
                          <a:lvl3pPr algn="l" rtl="0" eaLnBrk="0" fontAlgn="base" hangingPunct="0">
                            <a:spcBef>
                              <a:spcPct val="0"/>
                            </a:spcBef>
                            <a:spcAft>
                              <a:spcPct val="0"/>
                            </a:spcAft>
                            <a:defRPr sz="3200" b="1">
                              <a:solidFill>
                                <a:srgbClr val="FFFFFF"/>
                              </a:solidFill>
                              <a:latin typeface="Tahoma" pitchFamily="34" charset="0"/>
                            </a:defRPr>
                          </a:lvl3pPr>
                          <a:lvl4pPr algn="l" rtl="0" eaLnBrk="0" fontAlgn="base" hangingPunct="0">
                            <a:spcBef>
                              <a:spcPct val="0"/>
                            </a:spcBef>
                            <a:spcAft>
                              <a:spcPct val="0"/>
                            </a:spcAft>
                            <a:defRPr sz="3200" b="1">
                              <a:solidFill>
                                <a:srgbClr val="FFFFFF"/>
                              </a:solidFill>
                              <a:latin typeface="Tahoma" pitchFamily="34" charset="0"/>
                            </a:defRPr>
                          </a:lvl4pPr>
                          <a:lvl5pPr algn="l" rtl="0" eaLnBrk="0" fontAlgn="base" hangingPunct="0">
                            <a:spcBef>
                              <a:spcPct val="0"/>
                            </a:spcBef>
                            <a:spcAft>
                              <a:spcPct val="0"/>
                            </a:spcAft>
                            <a:defRPr sz="3200" b="1">
                              <a:solidFill>
                                <a:srgbClr val="FFFFFF"/>
                              </a:solidFill>
                              <a:latin typeface="Tahoma" pitchFamily="34" charset="0"/>
                            </a:defRPr>
                          </a:lvl5pPr>
                          <a:lvl6pPr marL="457200" algn="l" rtl="0" fontAlgn="base">
                            <a:spcBef>
                              <a:spcPct val="0"/>
                            </a:spcBef>
                            <a:spcAft>
                              <a:spcPct val="0"/>
                            </a:spcAft>
                            <a:defRPr sz="3200" b="1">
                              <a:solidFill>
                                <a:srgbClr val="FFFFFF"/>
                              </a:solidFill>
                              <a:latin typeface="Tahoma" pitchFamily="34" charset="0"/>
                            </a:defRPr>
                          </a:lvl6pPr>
                          <a:lvl7pPr marL="914400" algn="l" rtl="0" fontAlgn="base">
                            <a:spcBef>
                              <a:spcPct val="0"/>
                            </a:spcBef>
                            <a:spcAft>
                              <a:spcPct val="0"/>
                            </a:spcAft>
                            <a:defRPr sz="3200" b="1">
                              <a:solidFill>
                                <a:srgbClr val="FFFFFF"/>
                              </a:solidFill>
                              <a:latin typeface="Tahoma" pitchFamily="34" charset="0"/>
                            </a:defRPr>
                          </a:lvl7pPr>
                          <a:lvl8pPr marL="1371600" algn="l" rtl="0" fontAlgn="base">
                            <a:spcBef>
                              <a:spcPct val="0"/>
                            </a:spcBef>
                            <a:spcAft>
                              <a:spcPct val="0"/>
                            </a:spcAft>
                            <a:defRPr sz="3200" b="1">
                              <a:solidFill>
                                <a:srgbClr val="FFFFFF"/>
                              </a:solidFill>
                              <a:latin typeface="Tahoma" pitchFamily="34" charset="0"/>
                            </a:defRPr>
                          </a:lvl8pPr>
                          <a:lvl9pPr marL="1828800" algn="l" rtl="0" fontAlgn="base">
                            <a:spcBef>
                              <a:spcPct val="0"/>
                            </a:spcBef>
                            <a:spcAft>
                              <a:spcPct val="0"/>
                            </a:spcAft>
                            <a:defRPr sz="3200" b="1">
                              <a:solidFill>
                                <a:srgbClr val="FFFFFF"/>
                              </a:solidFill>
                              <a:latin typeface="Tahoma" pitchFamily="34" charset="0"/>
                            </a:defRPr>
                          </a:lvl9pPr>
                        </a:lstStyle>
                        <a:p>
                          <a:r>
                            <a:rPr lang="en-US" sz="2800" dirty="0"/>
                            <a:t>RB Corridor Arlington   vs.   Fairfax County</a:t>
                          </a:r>
                        </a:p>
                      </a:txBody>
                      <a:useSpRect/>
                    </a:txSp>
                  </a:sp>
                  <a:sp>
                    <a:nvSpPr>
                      <a:cNvPr id="486403" name="Text Box 3"/>
                      <a:cNvSpPr txBox="1">
                        <a:spLocks noChangeArrowheads="1"/>
                      </a:cNvSpPr>
                    </a:nvSpPr>
                    <a:spPr bwMode="auto">
                      <a:xfrm>
                        <a:off x="1913103" y="5842001"/>
                        <a:ext cx="5137112" cy="553998"/>
                      </a:xfrm>
                      <a:prstGeom prst="rect">
                        <a:avLst/>
                      </a:prstGeom>
                      <a:noFill/>
                      <a:ln w="9525">
                        <a:noFill/>
                        <a:miter lim="800000"/>
                        <a:headEnd/>
                        <a:tailEnd/>
                      </a:ln>
                      <a:effectLst/>
                    </a:spPr>
                    <a:txSp>
                      <a:txBody>
                        <a:bodyPr wrap="none">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r>
                            <a:rPr lang="en-US" sz="1200" b="0" dirty="0">
                              <a:solidFill>
                                <a:srgbClr val="000000"/>
                              </a:solidFill>
                              <a:latin typeface="Arial" charset="0"/>
                            </a:rPr>
                            <a:t>Source:  WMATA May 2002 weekday Metrorail ridership and access </a:t>
                          </a:r>
                          <a:r>
                            <a:rPr lang="en-US" sz="1200" b="0" dirty="0" smtClean="0">
                              <a:solidFill>
                                <a:srgbClr val="000000"/>
                              </a:solidFill>
                              <a:latin typeface="Arial" charset="0"/>
                            </a:rPr>
                            <a:t>data</a:t>
                          </a:r>
                        </a:p>
                        <a:p>
                          <a:r>
                            <a:rPr lang="en-US" sz="1200" b="0" dirty="0" smtClean="0">
                              <a:solidFill>
                                <a:srgbClr val="000000"/>
                              </a:solidFill>
                              <a:latin typeface="Arial" charset="0"/>
                            </a:rPr>
                            <a:t>US Census 2000 data</a:t>
                          </a:r>
                          <a:endParaRPr lang="en-US" sz="1200" b="0" dirty="0">
                            <a:solidFill>
                              <a:srgbClr val="000000"/>
                            </a:solidFill>
                            <a:latin typeface="Arial" charset="0"/>
                          </a:endParaRPr>
                        </a:p>
                      </a:txBody>
                      <a:useSpRect/>
                    </a:txSp>
                  </a:sp>
                  <a:sp>
                    <a:nvSpPr>
                      <a:cNvPr id="486404" name="Rectangle 4"/>
                      <a:cNvSpPr>
                        <a:spLocks noGrp="1" noChangeArrowheads="1"/>
                      </a:cNvSpPr>
                    </a:nvSpPr>
                    <a:spPr bwMode="auto">
                      <a:xfrm>
                        <a:off x="1371600" y="990600"/>
                        <a:ext cx="2819400" cy="3810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Wingdings" pitchFamily="2" charset="2"/>
                            <a:buChar char="v"/>
                            <a:defRPr sz="3200">
                              <a:solidFill>
                                <a:sysClr val="windowText" lastClr="000000"/>
                              </a:solidFill>
                              <a:latin typeface="+mn-lt"/>
                              <a:ea typeface="+mn-ea"/>
                              <a:cs typeface="+mn-cs"/>
                            </a:defRPr>
                          </a:lvl1pPr>
                          <a:lvl2pPr marL="742950" indent="-285750" algn="l" rtl="0" eaLnBrk="0" fontAlgn="base" hangingPunct="0">
                            <a:spcBef>
                              <a:spcPct val="20000"/>
                            </a:spcBef>
                            <a:spcAft>
                              <a:spcPct val="0"/>
                            </a:spcAft>
                            <a:buChar char="•"/>
                            <a:defRPr sz="2800">
                              <a:solidFill>
                                <a:sysClr val="windowText" lastClr="000000"/>
                              </a:solidFill>
                              <a:latin typeface="+mn-lt"/>
                            </a:defRPr>
                          </a:lvl2pPr>
                          <a:lvl3pPr marL="1143000" indent="-228600" algn="l" rtl="0" eaLnBrk="0" fontAlgn="base" hangingPunct="0">
                            <a:spcBef>
                              <a:spcPct val="20000"/>
                            </a:spcBef>
                            <a:spcAft>
                              <a:spcPct val="0"/>
                            </a:spcAft>
                            <a:buChar char="o"/>
                            <a:defRPr sz="2400">
                              <a:solidFill>
                                <a:sysClr val="windowText" lastClr="000000"/>
                              </a:solidFill>
                              <a:latin typeface="+mn-lt"/>
                            </a:defRPr>
                          </a:lvl3pPr>
                          <a:lvl4pPr marL="1600200" indent="-228600" algn="l" rtl="0" eaLnBrk="0" fontAlgn="base" hangingPunct="0">
                            <a:spcBef>
                              <a:spcPct val="20000"/>
                            </a:spcBef>
                            <a:spcAft>
                              <a:spcPct val="0"/>
                            </a:spcAft>
                            <a:buChar char="–"/>
                            <a:defRPr sz="2000">
                              <a:solidFill>
                                <a:sysClr val="windowText" lastClr="000000"/>
                              </a:solidFill>
                              <a:latin typeface="+mn-lt"/>
                            </a:defRPr>
                          </a:lvl4pPr>
                          <a:lvl5pPr marL="2057400" indent="-228600" algn="l" rtl="0" eaLnBrk="0" fontAlgn="base" hangingPunct="0">
                            <a:spcBef>
                              <a:spcPct val="20000"/>
                            </a:spcBef>
                            <a:spcAft>
                              <a:spcPct val="0"/>
                            </a:spcAft>
                            <a:buChar char="»"/>
                            <a:defRPr sz="2000">
                              <a:solidFill>
                                <a:sysClr val="windowText" lastClr="000000"/>
                              </a:solidFill>
                              <a:latin typeface="+mn-lt"/>
                            </a:defRPr>
                          </a:lvl5pPr>
                          <a:lvl6pPr marL="2514600" indent="-228600" algn="l" rtl="0" fontAlgn="base">
                            <a:spcBef>
                              <a:spcPct val="20000"/>
                            </a:spcBef>
                            <a:spcAft>
                              <a:spcPct val="0"/>
                            </a:spcAft>
                            <a:buChar char="»"/>
                            <a:defRPr sz="2000">
                              <a:solidFill>
                                <a:srgbClr val="FFFFFF"/>
                              </a:solidFill>
                              <a:latin typeface="+mn-lt"/>
                            </a:defRPr>
                          </a:lvl6pPr>
                          <a:lvl7pPr marL="2971800" indent="-228600" algn="l" rtl="0" fontAlgn="base">
                            <a:spcBef>
                              <a:spcPct val="20000"/>
                            </a:spcBef>
                            <a:spcAft>
                              <a:spcPct val="0"/>
                            </a:spcAft>
                            <a:buChar char="»"/>
                            <a:defRPr sz="2000">
                              <a:solidFill>
                                <a:srgbClr val="FFFFFF"/>
                              </a:solidFill>
                              <a:latin typeface="+mn-lt"/>
                            </a:defRPr>
                          </a:lvl7pPr>
                          <a:lvl8pPr marL="3429000" indent="-228600" algn="l" rtl="0" fontAlgn="base">
                            <a:spcBef>
                              <a:spcPct val="20000"/>
                            </a:spcBef>
                            <a:spcAft>
                              <a:spcPct val="0"/>
                            </a:spcAft>
                            <a:buChar char="»"/>
                            <a:defRPr sz="2000">
                              <a:solidFill>
                                <a:srgbClr val="FFFFFF"/>
                              </a:solidFill>
                              <a:latin typeface="+mn-lt"/>
                            </a:defRPr>
                          </a:lvl8pPr>
                          <a:lvl9pPr marL="3886200" indent="-228600" algn="l" rtl="0" fontAlgn="base">
                            <a:spcBef>
                              <a:spcPct val="20000"/>
                            </a:spcBef>
                            <a:spcAft>
                              <a:spcPct val="0"/>
                            </a:spcAft>
                            <a:buChar char="»"/>
                            <a:defRPr sz="2000">
                              <a:solidFill>
                                <a:srgbClr val="FFFFFF"/>
                              </a:solidFill>
                              <a:latin typeface="+mn-lt"/>
                            </a:defRPr>
                          </a:lvl9pPr>
                        </a:lstStyle>
                        <a:p>
                          <a:pPr>
                            <a:lnSpc>
                              <a:spcPct val="90000"/>
                            </a:lnSpc>
                            <a:buFontTx/>
                            <a:buNone/>
                          </a:pPr>
                          <a:r>
                            <a:rPr lang="en-US" sz="1600" dirty="0"/>
                            <a:t>39,500 daily </a:t>
                          </a:r>
                          <a:r>
                            <a:rPr lang="en-US" sz="1600" dirty="0" err="1" smtClean="0"/>
                            <a:t>boardings</a:t>
                          </a:r>
                          <a:endParaRPr lang="en-US" sz="1600" dirty="0" smtClean="0"/>
                        </a:p>
                        <a:p>
                          <a:pPr>
                            <a:lnSpc>
                              <a:spcPct val="90000"/>
                            </a:lnSpc>
                            <a:buFontTx/>
                            <a:buNone/>
                          </a:pPr>
                          <a:r>
                            <a:rPr lang="en-US" sz="1600" dirty="0" smtClean="0"/>
                            <a:t>189,453 population</a:t>
                          </a:r>
                          <a:endParaRPr lang="en-US" sz="1600" dirty="0"/>
                        </a:p>
                      </a:txBody>
                      <a:useSpRect/>
                    </a:txSp>
                  </a:sp>
                  <a:sp>
                    <a:nvSpPr>
                      <a:cNvPr id="486405" name="AutoShape 5"/>
                      <a:cNvSpPr>
                        <a:spLocks noChangeAspect="1" noChangeArrowheads="1" noTextEdit="1"/>
                      </a:cNvSpPr>
                    </a:nvSpPr>
                    <a:spPr bwMode="auto">
                      <a:xfrm>
                        <a:off x="1524000" y="1524000"/>
                        <a:ext cx="6858000" cy="4076700"/>
                      </a:xfrm>
                      <a:prstGeom prst="rect">
                        <a:avLst/>
                      </a:prstGeom>
                      <a:noFill/>
                      <a:ln w="9525">
                        <a:noFill/>
                        <a:miter lim="800000"/>
                        <a:headEnd/>
                        <a:tailEnd/>
                      </a:ln>
                    </a:spPr>
                    <a:txSp>
                      <a:txBody>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endParaRPr lang="en-US"/>
                        </a:p>
                      </a:txBody>
                      <a:useSpRect/>
                    </a:txSp>
                  </a:sp>
                  <a:sp>
                    <a:nvSpPr>
                      <a:cNvPr id="486406" name="Freeform 6"/>
                      <a:cNvSpPr>
                        <a:spLocks/>
                      </a:cNvSpPr>
                    </a:nvSpPr>
                    <a:spPr bwMode="auto">
                      <a:xfrm>
                        <a:off x="1552575" y="2143125"/>
                        <a:ext cx="1314450" cy="1800225"/>
                      </a:xfrm>
                      <a:custGeom>
                        <a:avLst/>
                        <a:gdLst/>
                        <a:ahLst/>
                        <a:cxnLst>
                          <a:cxn ang="0">
                            <a:pos x="135" y="0"/>
                          </a:cxn>
                          <a:cxn ang="0">
                            <a:pos x="0" y="60"/>
                          </a:cxn>
                          <a:cxn ang="0">
                            <a:pos x="138" y="189"/>
                          </a:cxn>
                          <a:cxn ang="0">
                            <a:pos x="135" y="0"/>
                          </a:cxn>
                        </a:cxnLst>
                        <a:rect l="0" t="0" r="r" b="b"/>
                        <a:pathLst>
                          <a:path w="138" h="189">
                            <a:moveTo>
                              <a:pt x="135" y="0"/>
                            </a:moveTo>
                            <a:cubicBezTo>
                              <a:pt x="83" y="0"/>
                              <a:pt x="35" y="22"/>
                              <a:pt x="0" y="60"/>
                            </a:cubicBezTo>
                            <a:lnTo>
                              <a:pt x="138" y="189"/>
                            </a:lnTo>
                            <a:lnTo>
                              <a:pt x="135" y="0"/>
                            </a:lnTo>
                            <a:close/>
                          </a:path>
                        </a:pathLst>
                      </a:custGeom>
                      <a:solidFill>
                        <a:srgbClr val="FF0000"/>
                      </a:solidFill>
                      <a:ln w="9525">
                        <a:solidFill>
                          <a:srgbClr val="000000"/>
                        </a:solidFill>
                        <a:prstDash val="solid"/>
                        <a:round/>
                        <a:headEnd/>
                        <a:tailEnd/>
                      </a:ln>
                    </a:spPr>
                    <a:txSp>
                      <a:txBody>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endParaRPr lang="en-US"/>
                        </a:p>
                      </a:txBody>
                      <a:useSpRect/>
                    </a:txSp>
                  </a:sp>
                  <a:sp>
                    <a:nvSpPr>
                      <a:cNvPr id="486407" name="Rectangle 7"/>
                      <a:cNvSpPr>
                        <a:spLocks noChangeArrowheads="1"/>
                      </a:cNvSpPr>
                    </a:nvSpPr>
                    <a:spPr bwMode="auto">
                      <a:xfrm>
                        <a:off x="1562100" y="1933575"/>
                        <a:ext cx="647700" cy="274638"/>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1800" b="0">
                              <a:solidFill>
                                <a:srgbClr val="000000"/>
                              </a:solidFill>
                              <a:latin typeface="Arial" charset="0"/>
                            </a:rPr>
                            <a:t>12.9%</a:t>
                          </a:r>
                          <a:endParaRPr lang="en-US" sz="2800">
                            <a:solidFill>
                              <a:srgbClr val="FFFFCC"/>
                            </a:solidFill>
                            <a:latin typeface="Arial" charset="0"/>
                          </a:endParaRPr>
                        </a:p>
                      </a:txBody>
                      <a:useSpRect/>
                    </a:txSp>
                  </a:sp>
                  <a:sp>
                    <a:nvSpPr>
                      <a:cNvPr id="486408" name="Rectangle 8"/>
                      <a:cNvSpPr>
                        <a:spLocks noChangeArrowheads="1"/>
                      </a:cNvSpPr>
                    </a:nvSpPr>
                    <a:spPr bwMode="auto">
                      <a:xfrm>
                        <a:off x="208350" y="1713055"/>
                        <a:ext cx="1541764" cy="246221"/>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1600" dirty="0">
                              <a:solidFill>
                                <a:srgbClr val="000000"/>
                              </a:solidFill>
                              <a:latin typeface="Arial" charset="0"/>
                            </a:rPr>
                            <a:t>Auto (incl. Drop-</a:t>
                          </a:r>
                          <a:endParaRPr lang="en-US" sz="2800" dirty="0">
                            <a:solidFill>
                              <a:srgbClr val="FFFFCC"/>
                            </a:solidFill>
                            <a:latin typeface="Arial" charset="0"/>
                          </a:endParaRPr>
                        </a:p>
                      </a:txBody>
                      <a:useSpRect/>
                    </a:txSp>
                  </a:sp>
                  <a:sp>
                    <a:nvSpPr>
                      <a:cNvPr id="486409" name="Rectangle 9"/>
                      <a:cNvSpPr>
                        <a:spLocks noChangeArrowheads="1"/>
                      </a:cNvSpPr>
                    </a:nvSpPr>
                    <a:spPr bwMode="auto">
                      <a:xfrm>
                        <a:off x="1734260" y="1705457"/>
                        <a:ext cx="328612" cy="244475"/>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1600" dirty="0">
                              <a:solidFill>
                                <a:srgbClr val="000000"/>
                              </a:solidFill>
                              <a:latin typeface="Arial" charset="0"/>
                            </a:rPr>
                            <a:t>off)</a:t>
                          </a:r>
                          <a:endParaRPr lang="en-US" sz="2800" dirty="0">
                            <a:solidFill>
                              <a:srgbClr val="FFFFCC"/>
                            </a:solidFill>
                            <a:latin typeface="Arial" charset="0"/>
                          </a:endParaRPr>
                        </a:p>
                      </a:txBody>
                      <a:useSpRect/>
                    </a:txSp>
                  </a:sp>
                  <a:sp>
                    <a:nvSpPr>
                      <a:cNvPr id="486410" name="Rectangle 10"/>
                      <a:cNvSpPr>
                        <a:spLocks noChangeArrowheads="1"/>
                      </a:cNvSpPr>
                    </a:nvSpPr>
                    <a:spPr bwMode="auto">
                      <a:xfrm>
                        <a:off x="4200525" y="5495925"/>
                        <a:ext cx="647700" cy="274638"/>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1800" b="0">
                              <a:solidFill>
                                <a:srgbClr val="000000"/>
                              </a:solidFill>
                              <a:latin typeface="Arial" charset="0"/>
                            </a:rPr>
                            <a:t>73.0%</a:t>
                          </a:r>
                          <a:endParaRPr lang="en-US" sz="2800">
                            <a:solidFill>
                              <a:srgbClr val="FFFFCC"/>
                            </a:solidFill>
                            <a:latin typeface="Arial" charset="0"/>
                          </a:endParaRPr>
                        </a:p>
                      </a:txBody>
                      <a:useSpRect/>
                    </a:txSp>
                  </a:sp>
                  <a:sp>
                    <a:nvSpPr>
                      <a:cNvPr id="486411" name="Rectangle 11"/>
                      <a:cNvSpPr>
                        <a:spLocks noChangeArrowheads="1"/>
                      </a:cNvSpPr>
                    </a:nvSpPr>
                    <a:spPr bwMode="auto">
                      <a:xfrm>
                        <a:off x="3022600" y="1781175"/>
                        <a:ext cx="520700" cy="274638"/>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1800" b="0">
                              <a:solidFill>
                                <a:srgbClr val="000000"/>
                              </a:solidFill>
                              <a:latin typeface="Arial" charset="0"/>
                            </a:rPr>
                            <a:t>2.0%</a:t>
                          </a:r>
                          <a:endParaRPr lang="en-US" sz="2800">
                            <a:solidFill>
                              <a:srgbClr val="FFFFCC"/>
                            </a:solidFill>
                            <a:latin typeface="Arial" charset="0"/>
                          </a:endParaRPr>
                        </a:p>
                      </a:txBody>
                      <a:useSpRect/>
                    </a:txSp>
                  </a:sp>
                  <a:grpSp>
                    <a:nvGrpSpPr>
                      <a:cNvPr id="2" name="Group 12"/>
                      <a:cNvGrpSpPr>
                        <a:grpSpLocks/>
                      </a:cNvGrpSpPr>
                    </a:nvGrpSpPr>
                    <a:grpSpPr bwMode="auto">
                      <a:xfrm>
                        <a:off x="1066800" y="2133600"/>
                        <a:ext cx="3609975" cy="3619500"/>
                        <a:chOff x="1344" y="1212"/>
                        <a:chExt cx="2274" cy="2280"/>
                      </a:xfrm>
                    </a:grpSpPr>
                    <a:sp>
                      <a:nvSpPr>
                        <a:cNvPr id="486413" name="Freeform 13"/>
                        <a:cNvSpPr>
                          <a:spLocks/>
                        </a:cNvSpPr>
                      </a:nvSpPr>
                      <a:spPr bwMode="auto">
                        <a:xfrm>
                          <a:off x="1344" y="1230"/>
                          <a:ext cx="2274" cy="2262"/>
                        </a:xfrm>
                        <a:custGeom>
                          <a:avLst/>
                          <a:gdLst/>
                          <a:ahLst/>
                          <a:cxnLst>
                            <a:cxn ang="0">
                              <a:pos x="0" y="177"/>
                            </a:cxn>
                            <a:cxn ang="0">
                              <a:pos x="0" y="187"/>
                            </a:cxn>
                            <a:cxn ang="0">
                              <a:pos x="189" y="377"/>
                            </a:cxn>
                            <a:cxn ang="0">
                              <a:pos x="379" y="187"/>
                            </a:cxn>
                            <a:cxn ang="0">
                              <a:pos x="222" y="0"/>
                            </a:cxn>
                            <a:cxn ang="0">
                              <a:pos x="189" y="187"/>
                            </a:cxn>
                            <a:cxn ang="0">
                              <a:pos x="0" y="177"/>
                            </a:cxn>
                          </a:cxnLst>
                          <a:rect l="0" t="0" r="r" b="b"/>
                          <a:pathLst>
                            <a:path w="379" h="377">
                              <a:moveTo>
                                <a:pt x="0" y="177"/>
                              </a:moveTo>
                              <a:cubicBezTo>
                                <a:pt x="0" y="180"/>
                                <a:pt x="0" y="184"/>
                                <a:pt x="0" y="187"/>
                              </a:cubicBezTo>
                              <a:cubicBezTo>
                                <a:pt x="0" y="292"/>
                                <a:pt x="84" y="377"/>
                                <a:pt x="189" y="377"/>
                              </a:cubicBezTo>
                              <a:cubicBezTo>
                                <a:pt x="294" y="377"/>
                                <a:pt x="379" y="292"/>
                                <a:pt x="379" y="187"/>
                              </a:cubicBezTo>
                              <a:cubicBezTo>
                                <a:pt x="379" y="95"/>
                                <a:pt x="312" y="16"/>
                                <a:pt x="222" y="0"/>
                              </a:cubicBezTo>
                              <a:lnTo>
                                <a:pt x="189" y="187"/>
                              </a:lnTo>
                              <a:lnTo>
                                <a:pt x="0" y="177"/>
                              </a:lnTo>
                              <a:close/>
                            </a:path>
                          </a:pathLst>
                        </a:custGeom>
                        <a:solidFill>
                          <a:srgbClr val="339966"/>
                        </a:solidFill>
                        <a:ln w="9525">
                          <a:solidFill>
                            <a:srgbClr val="000000"/>
                          </a:solidFill>
                          <a:prstDash val="solid"/>
                          <a:round/>
                          <a:headEnd/>
                          <a:tailEnd/>
                        </a:ln>
                      </a:spPr>
                      <a:txSp>
                        <a:txBody>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endParaRPr lang="en-US"/>
                          </a:p>
                        </a:txBody>
                        <a:useSpRect/>
                      </a:txSp>
                    </a:sp>
                    <a:sp>
                      <a:nvSpPr>
                        <a:cNvPr id="486414" name="Freeform 14"/>
                        <a:cNvSpPr>
                          <a:spLocks/>
                        </a:cNvSpPr>
                      </a:nvSpPr>
                      <a:spPr bwMode="auto">
                        <a:xfrm>
                          <a:off x="1344" y="1782"/>
                          <a:ext cx="1134" cy="570"/>
                        </a:xfrm>
                        <a:custGeom>
                          <a:avLst/>
                          <a:gdLst/>
                          <a:ahLst/>
                          <a:cxnLst>
                            <a:cxn ang="0">
                              <a:pos x="25" y="0"/>
                            </a:cxn>
                            <a:cxn ang="0">
                              <a:pos x="0" y="85"/>
                            </a:cxn>
                            <a:cxn ang="0">
                              <a:pos x="189" y="95"/>
                            </a:cxn>
                            <a:cxn ang="0">
                              <a:pos x="25" y="0"/>
                            </a:cxn>
                          </a:cxnLst>
                          <a:rect l="0" t="0" r="r" b="b"/>
                          <a:pathLst>
                            <a:path w="189" h="95">
                              <a:moveTo>
                                <a:pt x="25" y="0"/>
                              </a:moveTo>
                              <a:cubicBezTo>
                                <a:pt x="10" y="26"/>
                                <a:pt x="1" y="55"/>
                                <a:pt x="0" y="85"/>
                              </a:cubicBezTo>
                              <a:lnTo>
                                <a:pt x="189" y="95"/>
                              </a:lnTo>
                              <a:lnTo>
                                <a:pt x="25" y="0"/>
                              </a:lnTo>
                              <a:close/>
                            </a:path>
                          </a:pathLst>
                        </a:custGeom>
                        <a:solidFill>
                          <a:srgbClr val="0000FF"/>
                        </a:solidFill>
                        <a:ln w="9525">
                          <a:solidFill>
                            <a:srgbClr val="000000"/>
                          </a:solidFill>
                          <a:prstDash val="solid"/>
                          <a:round/>
                          <a:headEnd/>
                          <a:tailEnd/>
                        </a:ln>
                      </a:spPr>
                      <a:txSp>
                        <a:txBody>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endParaRPr lang="en-US"/>
                          </a:p>
                        </a:txBody>
                        <a:useSpRect/>
                      </a:txSp>
                    </a:sp>
                    <a:sp>
                      <a:nvSpPr>
                        <a:cNvPr id="486415" name="Freeform 15"/>
                        <a:cNvSpPr>
                          <a:spLocks/>
                        </a:cNvSpPr>
                      </a:nvSpPr>
                      <a:spPr bwMode="auto">
                        <a:xfrm>
                          <a:off x="1494" y="1578"/>
                          <a:ext cx="984" cy="774"/>
                        </a:xfrm>
                        <a:custGeom>
                          <a:avLst/>
                          <a:gdLst/>
                          <a:ahLst/>
                          <a:cxnLst>
                            <a:cxn ang="0">
                              <a:pos x="26" y="0"/>
                            </a:cxn>
                            <a:cxn ang="0">
                              <a:pos x="0" y="34"/>
                            </a:cxn>
                            <a:cxn ang="0">
                              <a:pos x="164" y="129"/>
                            </a:cxn>
                            <a:cxn ang="0">
                              <a:pos x="26" y="0"/>
                            </a:cxn>
                          </a:cxnLst>
                          <a:rect l="0" t="0" r="r" b="b"/>
                          <a:pathLst>
                            <a:path w="164" h="129">
                              <a:moveTo>
                                <a:pt x="26" y="0"/>
                              </a:moveTo>
                              <a:cubicBezTo>
                                <a:pt x="16" y="10"/>
                                <a:pt x="7" y="22"/>
                                <a:pt x="0" y="34"/>
                              </a:cubicBezTo>
                              <a:lnTo>
                                <a:pt x="164" y="129"/>
                              </a:lnTo>
                              <a:lnTo>
                                <a:pt x="26" y="0"/>
                              </a:lnTo>
                              <a:close/>
                            </a:path>
                          </a:pathLst>
                        </a:custGeom>
                        <a:solidFill>
                          <a:srgbClr val="000080"/>
                        </a:solidFill>
                        <a:ln w="9525">
                          <a:solidFill>
                            <a:srgbClr val="000000"/>
                          </a:solidFill>
                          <a:prstDash val="solid"/>
                          <a:round/>
                          <a:headEnd/>
                          <a:tailEnd/>
                        </a:ln>
                      </a:spPr>
                      <a:txSp>
                        <a:txBody>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endParaRPr lang="en-US"/>
                          </a:p>
                        </a:txBody>
                        <a:useSpRect/>
                      </a:txSp>
                    </a:sp>
                    <a:sp>
                      <a:nvSpPr>
                        <a:cNvPr id="486416" name="Freeform 16"/>
                        <a:cNvSpPr>
                          <a:spLocks/>
                        </a:cNvSpPr>
                      </a:nvSpPr>
                      <a:spPr bwMode="auto">
                        <a:xfrm>
                          <a:off x="2460" y="1212"/>
                          <a:ext cx="72" cy="1140"/>
                        </a:xfrm>
                        <a:custGeom>
                          <a:avLst/>
                          <a:gdLst/>
                          <a:ahLst/>
                          <a:cxnLst>
                            <a:cxn ang="0">
                              <a:pos x="12" y="1"/>
                            </a:cxn>
                            <a:cxn ang="0">
                              <a:pos x="3" y="1"/>
                            </a:cxn>
                            <a:cxn ang="0">
                              <a:pos x="0" y="1"/>
                            </a:cxn>
                            <a:cxn ang="0">
                              <a:pos x="3" y="190"/>
                            </a:cxn>
                            <a:cxn ang="0">
                              <a:pos x="12" y="1"/>
                            </a:cxn>
                          </a:cxnLst>
                          <a:rect l="0" t="0" r="r" b="b"/>
                          <a:pathLst>
                            <a:path w="12" h="190">
                              <a:moveTo>
                                <a:pt x="12" y="1"/>
                              </a:moveTo>
                              <a:cubicBezTo>
                                <a:pt x="9" y="1"/>
                                <a:pt x="6" y="1"/>
                                <a:pt x="3" y="1"/>
                              </a:cubicBezTo>
                              <a:cubicBezTo>
                                <a:pt x="2" y="0"/>
                                <a:pt x="1" y="1"/>
                                <a:pt x="0" y="1"/>
                              </a:cubicBezTo>
                              <a:lnTo>
                                <a:pt x="3" y="190"/>
                              </a:lnTo>
                              <a:lnTo>
                                <a:pt x="12" y="1"/>
                              </a:lnTo>
                              <a:close/>
                            </a:path>
                          </a:pathLst>
                        </a:custGeom>
                        <a:solidFill>
                          <a:srgbClr val="00FFFF"/>
                        </a:solidFill>
                        <a:ln w="9525">
                          <a:solidFill>
                            <a:srgbClr val="000000"/>
                          </a:solidFill>
                          <a:prstDash val="solid"/>
                          <a:round/>
                          <a:headEnd/>
                          <a:tailEnd/>
                        </a:ln>
                      </a:spPr>
                      <a:txSp>
                        <a:txBody>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endParaRPr lang="en-US"/>
                          </a:p>
                        </a:txBody>
                        <a:useSpRect/>
                      </a:txSp>
                    </a:sp>
                    <a:sp>
                      <a:nvSpPr>
                        <a:cNvPr id="486417" name="Freeform 17"/>
                        <a:cNvSpPr>
                          <a:spLocks/>
                        </a:cNvSpPr>
                      </a:nvSpPr>
                      <a:spPr bwMode="auto">
                        <a:xfrm>
                          <a:off x="2478" y="1218"/>
                          <a:ext cx="198" cy="1134"/>
                        </a:xfrm>
                        <a:custGeom>
                          <a:avLst/>
                          <a:gdLst/>
                          <a:ahLst/>
                          <a:cxnLst>
                            <a:cxn ang="0">
                              <a:pos x="33" y="2"/>
                            </a:cxn>
                            <a:cxn ang="0">
                              <a:pos x="9" y="0"/>
                            </a:cxn>
                            <a:cxn ang="0">
                              <a:pos x="0" y="189"/>
                            </a:cxn>
                            <a:cxn ang="0">
                              <a:pos x="33" y="2"/>
                            </a:cxn>
                          </a:cxnLst>
                          <a:rect l="0" t="0" r="r" b="b"/>
                          <a:pathLst>
                            <a:path w="33" h="189">
                              <a:moveTo>
                                <a:pt x="33" y="2"/>
                              </a:moveTo>
                              <a:cubicBezTo>
                                <a:pt x="25" y="1"/>
                                <a:pt x="17" y="0"/>
                                <a:pt x="9" y="0"/>
                              </a:cubicBezTo>
                              <a:lnTo>
                                <a:pt x="0" y="189"/>
                              </a:lnTo>
                              <a:lnTo>
                                <a:pt x="33" y="2"/>
                              </a:lnTo>
                              <a:close/>
                            </a:path>
                          </a:pathLst>
                        </a:custGeom>
                        <a:solidFill>
                          <a:srgbClr val="FFFFFF"/>
                        </a:solidFill>
                        <a:ln w="9525">
                          <a:solidFill>
                            <a:srgbClr val="000000"/>
                          </a:solidFill>
                          <a:prstDash val="solid"/>
                          <a:round/>
                          <a:headEnd/>
                          <a:tailEnd/>
                        </a:ln>
                      </a:spPr>
                      <a:txSp>
                        <a:txBody>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endParaRPr lang="en-US"/>
                          </a:p>
                        </a:txBody>
                        <a:useSpRect/>
                      </a:txSp>
                    </a:sp>
                  </a:grpSp>
                  <a:sp>
                    <a:nvSpPr>
                      <a:cNvPr id="486418" name="Rectangle 18"/>
                      <a:cNvSpPr>
                        <a:spLocks noChangeArrowheads="1"/>
                      </a:cNvSpPr>
                    </a:nvSpPr>
                    <a:spPr bwMode="auto">
                      <a:xfrm>
                        <a:off x="631825" y="3267075"/>
                        <a:ext cx="520700" cy="274638"/>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1800" b="0">
                              <a:solidFill>
                                <a:srgbClr val="000000"/>
                              </a:solidFill>
                              <a:latin typeface="Arial" charset="0"/>
                            </a:rPr>
                            <a:t>7.5%</a:t>
                          </a:r>
                          <a:endParaRPr lang="en-US" sz="2800">
                            <a:solidFill>
                              <a:srgbClr val="FFFFCC"/>
                            </a:solidFill>
                            <a:latin typeface="Arial" charset="0"/>
                          </a:endParaRPr>
                        </a:p>
                      </a:txBody>
                      <a:useSpRect/>
                    </a:txSp>
                  </a:sp>
                  <a:sp>
                    <a:nvSpPr>
                      <a:cNvPr id="486419" name="Rectangle 19"/>
                      <a:cNvSpPr>
                        <a:spLocks noChangeArrowheads="1"/>
                      </a:cNvSpPr>
                    </a:nvSpPr>
                    <a:spPr bwMode="auto">
                      <a:xfrm>
                        <a:off x="917575" y="2590800"/>
                        <a:ext cx="520700" cy="274638"/>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1800" b="0">
                              <a:solidFill>
                                <a:srgbClr val="000000"/>
                              </a:solidFill>
                              <a:latin typeface="Arial" charset="0"/>
                            </a:rPr>
                            <a:t>3.6%</a:t>
                          </a:r>
                          <a:endParaRPr lang="en-US" sz="2800">
                            <a:solidFill>
                              <a:srgbClr val="FFFFCC"/>
                            </a:solidFill>
                            <a:latin typeface="Arial" charset="0"/>
                          </a:endParaRPr>
                        </a:p>
                      </a:txBody>
                      <a:useSpRect/>
                    </a:txSp>
                  </a:sp>
                  <a:sp>
                    <a:nvSpPr>
                      <a:cNvPr id="486420" name="Rectangle 20"/>
                      <a:cNvSpPr>
                        <a:spLocks noChangeArrowheads="1"/>
                      </a:cNvSpPr>
                    </a:nvSpPr>
                    <a:spPr bwMode="auto">
                      <a:xfrm>
                        <a:off x="2489200" y="1905000"/>
                        <a:ext cx="520700" cy="274638"/>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1800" b="0">
                              <a:solidFill>
                                <a:srgbClr val="000000"/>
                              </a:solidFill>
                              <a:latin typeface="Arial" charset="0"/>
                            </a:rPr>
                            <a:t>1.0%</a:t>
                          </a:r>
                          <a:endParaRPr lang="en-US" sz="2800">
                            <a:solidFill>
                              <a:srgbClr val="FFFFCC"/>
                            </a:solidFill>
                            <a:latin typeface="Arial" charset="0"/>
                          </a:endParaRPr>
                        </a:p>
                      </a:txBody>
                      <a:useSpRect/>
                    </a:txSp>
                  </a:sp>
                  <a:sp>
                    <a:nvSpPr>
                      <a:cNvPr id="486421" name="Rectangle 21"/>
                      <a:cNvSpPr>
                        <a:spLocks noChangeArrowheads="1"/>
                      </a:cNvSpPr>
                    </a:nvSpPr>
                    <a:spPr bwMode="auto">
                      <a:xfrm>
                        <a:off x="2286000" y="4476750"/>
                        <a:ext cx="1389063" cy="669925"/>
                      </a:xfrm>
                      <a:prstGeom prst="rect">
                        <a:avLst/>
                      </a:prstGeom>
                      <a:noFill/>
                      <a:ln w="9525">
                        <a:noFill/>
                        <a:miter lim="800000"/>
                        <a:headEnd/>
                        <a:tailEnd/>
                      </a:ln>
                    </a:spPr>
                    <a:txSp>
                      <a:txBody>
                        <a:bodyPr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4400">
                              <a:solidFill>
                                <a:srgbClr val="000000"/>
                              </a:solidFill>
                              <a:latin typeface="Arial" charset="0"/>
                            </a:rPr>
                            <a:t>Walk</a:t>
                          </a:r>
                          <a:endParaRPr lang="en-US" sz="6600">
                            <a:solidFill>
                              <a:srgbClr val="FFFFCC"/>
                            </a:solidFill>
                            <a:latin typeface="Arial" charset="0"/>
                          </a:endParaRPr>
                        </a:p>
                      </a:txBody>
                      <a:useSpRect/>
                    </a:txSp>
                  </a:sp>
                  <a:sp>
                    <a:nvSpPr>
                      <a:cNvPr id="486422" name="Rectangle 22"/>
                      <a:cNvSpPr>
                        <a:spLocks noChangeArrowheads="1"/>
                      </a:cNvSpPr>
                    </a:nvSpPr>
                    <a:spPr bwMode="auto">
                      <a:xfrm>
                        <a:off x="0" y="3562350"/>
                        <a:ext cx="914400" cy="244475"/>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1600">
                              <a:solidFill>
                                <a:srgbClr val="000000"/>
                              </a:solidFill>
                              <a:latin typeface="Arial" charset="0"/>
                            </a:rPr>
                            <a:t>Metrobus</a:t>
                          </a:r>
                          <a:endParaRPr lang="en-US" sz="2800">
                            <a:solidFill>
                              <a:srgbClr val="FFFFCC"/>
                            </a:solidFill>
                            <a:latin typeface="Arial" charset="0"/>
                          </a:endParaRPr>
                        </a:p>
                      </a:txBody>
                      <a:useSpRect/>
                    </a:txSp>
                  </a:sp>
                  <a:sp>
                    <a:nvSpPr>
                      <a:cNvPr id="486423" name="Rectangle 23"/>
                      <a:cNvSpPr>
                        <a:spLocks noChangeArrowheads="1"/>
                      </a:cNvSpPr>
                    </a:nvSpPr>
                    <a:spPr bwMode="auto">
                      <a:xfrm>
                        <a:off x="152400" y="2419350"/>
                        <a:ext cx="1239838" cy="244475"/>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1600">
                              <a:solidFill>
                                <a:srgbClr val="000000"/>
                              </a:solidFill>
                              <a:latin typeface="Arial" charset="0"/>
                            </a:rPr>
                            <a:t>Bus/Vanpool</a:t>
                          </a:r>
                          <a:endParaRPr lang="en-US" sz="2800">
                            <a:solidFill>
                              <a:srgbClr val="FFFFCC"/>
                            </a:solidFill>
                            <a:latin typeface="Arial" charset="0"/>
                          </a:endParaRPr>
                        </a:p>
                      </a:txBody>
                      <a:useSpRect/>
                    </a:txSp>
                  </a:sp>
                  <a:sp>
                    <a:nvSpPr>
                      <a:cNvPr id="486424" name="Rectangle 24"/>
                      <a:cNvSpPr>
                        <a:spLocks noChangeArrowheads="1"/>
                      </a:cNvSpPr>
                    </a:nvSpPr>
                    <a:spPr bwMode="auto">
                      <a:xfrm>
                        <a:off x="2667000" y="1504950"/>
                        <a:ext cx="542925" cy="244475"/>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1600">
                              <a:solidFill>
                                <a:srgbClr val="000000"/>
                              </a:solidFill>
                              <a:latin typeface="Arial" charset="0"/>
                            </a:rPr>
                            <a:t>Other</a:t>
                          </a:r>
                          <a:endParaRPr lang="en-US" sz="2800">
                            <a:solidFill>
                              <a:srgbClr val="FFFFCC"/>
                            </a:solidFill>
                            <a:latin typeface="Arial" charset="0"/>
                          </a:endParaRPr>
                        </a:p>
                      </a:txBody>
                      <a:useSpRect/>
                    </a:txSp>
                  </a:sp>
                  <a:pic>
                    <a:nvPicPr>
                      <a:cNvPr id="486425" name="Picture 25"/>
                      <a:cNvPicPr>
                        <a:picLocks noChangeAspect="1" noChangeArrowheads="1"/>
                      </a:cNvPicPr>
                    </a:nvPicPr>
                    <a:blipFill>
                      <a:blip r:embed="rId15" cstate="print"/>
                      <a:srcRect/>
                      <a:stretch>
                        <a:fillRect/>
                      </a:stretch>
                    </a:blipFill>
                    <a:spPr bwMode="auto">
                      <a:xfrm>
                        <a:off x="5326063" y="2384425"/>
                        <a:ext cx="3589337" cy="2824163"/>
                      </a:xfrm>
                      <a:prstGeom prst="rect">
                        <a:avLst/>
                      </a:prstGeom>
                      <a:noFill/>
                      <a:ln w="9525">
                        <a:noFill/>
                        <a:miter lim="800000"/>
                        <a:headEnd/>
                        <a:tailEnd/>
                      </a:ln>
                      <a:effectLst/>
                    </a:spPr>
                  </a:pic>
                  <a:sp>
                    <a:nvSpPr>
                      <a:cNvPr id="486426" name="Rectangle 26"/>
                      <a:cNvSpPr>
                        <a:spLocks noChangeArrowheads="1"/>
                      </a:cNvSpPr>
                    </a:nvSpPr>
                    <a:spPr bwMode="auto">
                      <a:xfrm>
                        <a:off x="5334000" y="990600"/>
                        <a:ext cx="2819400" cy="381000"/>
                      </a:xfrm>
                      <a:prstGeom prst="rect">
                        <a:avLst/>
                      </a:prstGeom>
                      <a:noFill/>
                      <a:ln w="9525">
                        <a:noFill/>
                        <a:miter lim="800000"/>
                        <a:headEnd/>
                        <a:tailEnd/>
                      </a:ln>
                      <a:effectLst/>
                    </a:spPr>
                    <a:txSp>
                      <a:txBody>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marL="222250" indent="-222250">
                            <a:lnSpc>
                              <a:spcPct val="90000"/>
                            </a:lnSpc>
                            <a:spcBef>
                              <a:spcPct val="40000"/>
                            </a:spcBef>
                          </a:pPr>
                          <a:r>
                            <a:rPr lang="en-US" sz="1600" b="0" dirty="0">
                              <a:solidFill>
                                <a:srgbClr val="000000"/>
                              </a:solidFill>
                            </a:rPr>
                            <a:t>29,250 daily </a:t>
                          </a:r>
                          <a:r>
                            <a:rPr lang="en-US" sz="1600" b="0" dirty="0" err="1" smtClean="0">
                              <a:solidFill>
                                <a:srgbClr val="000000"/>
                              </a:solidFill>
                            </a:rPr>
                            <a:t>boardings</a:t>
                          </a:r>
                          <a:endParaRPr lang="en-US" sz="1600" b="0" dirty="0" smtClean="0">
                            <a:solidFill>
                              <a:srgbClr val="000000"/>
                            </a:solidFill>
                          </a:endParaRPr>
                        </a:p>
                        <a:p>
                          <a:pPr marL="222250" indent="-222250">
                            <a:lnSpc>
                              <a:spcPct val="90000"/>
                            </a:lnSpc>
                            <a:spcBef>
                              <a:spcPct val="40000"/>
                            </a:spcBef>
                          </a:pPr>
                          <a:r>
                            <a:rPr lang="en-US" sz="1600" dirty="0" smtClean="0">
                              <a:solidFill>
                                <a:srgbClr val="000000"/>
                              </a:solidFill>
                            </a:rPr>
                            <a:t>969,749 population</a:t>
                          </a:r>
                          <a:endParaRPr lang="en-US" sz="1600" b="0" dirty="0">
                            <a:solidFill>
                              <a:srgbClr val="000000"/>
                            </a:solidFill>
                          </a:endParaRPr>
                        </a:p>
                      </a:txBody>
                      <a:useSpRect/>
                    </a:txSp>
                  </a:sp>
                  <a:sp>
                    <a:nvSpPr>
                      <a:cNvPr id="486427" name="Rectangle 27"/>
                      <a:cNvSpPr>
                        <a:spLocks noChangeArrowheads="1"/>
                      </a:cNvSpPr>
                    </a:nvSpPr>
                    <a:spPr bwMode="auto">
                      <a:xfrm>
                        <a:off x="5410200" y="3962400"/>
                        <a:ext cx="1389063" cy="549275"/>
                      </a:xfrm>
                      <a:prstGeom prst="rect">
                        <a:avLst/>
                      </a:prstGeom>
                      <a:noFill/>
                      <a:ln w="9525">
                        <a:noFill/>
                        <a:miter lim="800000"/>
                        <a:headEnd/>
                        <a:tailEnd/>
                      </a:ln>
                    </a:spPr>
                    <a:txSp>
                      <a:txBody>
                        <a:bodyPr lIns="0" tIns="0" rIns="0" bIns="0">
                          <a:spAutoFit/>
                        </a:bodyPr>
                        <a:lstStyle>
                          <a:defPPr>
                            <a:defRPr lang="en-US"/>
                          </a:defPPr>
                          <a:lvl1pPr algn="ctr" rtl="0" fontAlgn="base">
                            <a:spcBef>
                              <a:spcPct val="50000"/>
                            </a:spcBef>
                            <a:spcAft>
                              <a:spcPct val="0"/>
                            </a:spcAft>
                            <a:defRPr sz="1400" kern="1200">
                              <a:solidFill>
                                <a:srgbClr val="000099"/>
                              </a:solidFill>
                              <a:latin typeface="Tahoma" pitchFamily="34" charset="0"/>
                              <a:ea typeface="+mn-ea"/>
                              <a:cs typeface="+mn-cs"/>
                            </a:defRPr>
                          </a:lvl1pPr>
                          <a:lvl2pPr marL="457200" algn="ctr" rtl="0" fontAlgn="base">
                            <a:spcBef>
                              <a:spcPct val="50000"/>
                            </a:spcBef>
                            <a:spcAft>
                              <a:spcPct val="0"/>
                            </a:spcAft>
                            <a:defRPr sz="1400" kern="1200">
                              <a:solidFill>
                                <a:srgbClr val="000099"/>
                              </a:solidFill>
                              <a:latin typeface="Tahoma" pitchFamily="34" charset="0"/>
                              <a:ea typeface="+mn-ea"/>
                              <a:cs typeface="+mn-cs"/>
                            </a:defRPr>
                          </a:lvl2pPr>
                          <a:lvl3pPr marL="914400" algn="ctr" rtl="0" fontAlgn="base">
                            <a:spcBef>
                              <a:spcPct val="50000"/>
                            </a:spcBef>
                            <a:spcAft>
                              <a:spcPct val="0"/>
                            </a:spcAft>
                            <a:defRPr sz="1400" kern="1200">
                              <a:solidFill>
                                <a:srgbClr val="000099"/>
                              </a:solidFill>
                              <a:latin typeface="Tahoma" pitchFamily="34" charset="0"/>
                              <a:ea typeface="+mn-ea"/>
                              <a:cs typeface="+mn-cs"/>
                            </a:defRPr>
                          </a:lvl3pPr>
                          <a:lvl4pPr marL="1371600" algn="ctr" rtl="0" fontAlgn="base">
                            <a:spcBef>
                              <a:spcPct val="50000"/>
                            </a:spcBef>
                            <a:spcAft>
                              <a:spcPct val="0"/>
                            </a:spcAft>
                            <a:defRPr sz="1400" kern="1200">
                              <a:solidFill>
                                <a:srgbClr val="000099"/>
                              </a:solidFill>
                              <a:latin typeface="Tahoma" pitchFamily="34" charset="0"/>
                              <a:ea typeface="+mn-ea"/>
                              <a:cs typeface="+mn-cs"/>
                            </a:defRPr>
                          </a:lvl4pPr>
                          <a:lvl5pPr marL="1828800" algn="ctr" rtl="0" fontAlgn="base">
                            <a:spcBef>
                              <a:spcPct val="50000"/>
                            </a:spcBef>
                            <a:spcAft>
                              <a:spcPct val="0"/>
                            </a:spcAft>
                            <a:defRPr sz="1400" kern="1200">
                              <a:solidFill>
                                <a:srgbClr val="000099"/>
                              </a:solidFill>
                              <a:latin typeface="Tahoma" pitchFamily="34" charset="0"/>
                              <a:ea typeface="+mn-ea"/>
                              <a:cs typeface="+mn-cs"/>
                            </a:defRPr>
                          </a:lvl5pPr>
                          <a:lvl6pPr marL="2286000" algn="l" defTabSz="914400" rtl="0" eaLnBrk="1" latinLnBrk="0" hangingPunct="1">
                            <a:defRPr sz="1400" kern="1200">
                              <a:solidFill>
                                <a:srgbClr val="000099"/>
                              </a:solidFill>
                              <a:latin typeface="Tahoma" pitchFamily="34" charset="0"/>
                              <a:ea typeface="+mn-ea"/>
                              <a:cs typeface="+mn-cs"/>
                            </a:defRPr>
                          </a:lvl6pPr>
                          <a:lvl7pPr marL="2743200" algn="l" defTabSz="914400" rtl="0" eaLnBrk="1" latinLnBrk="0" hangingPunct="1">
                            <a:defRPr sz="1400" kern="1200">
                              <a:solidFill>
                                <a:srgbClr val="000099"/>
                              </a:solidFill>
                              <a:latin typeface="Tahoma" pitchFamily="34" charset="0"/>
                              <a:ea typeface="+mn-ea"/>
                              <a:cs typeface="+mn-cs"/>
                            </a:defRPr>
                          </a:lvl7pPr>
                          <a:lvl8pPr marL="3200400" algn="l" defTabSz="914400" rtl="0" eaLnBrk="1" latinLnBrk="0" hangingPunct="1">
                            <a:defRPr sz="1400" kern="1200">
                              <a:solidFill>
                                <a:srgbClr val="000099"/>
                              </a:solidFill>
                              <a:latin typeface="Tahoma" pitchFamily="34" charset="0"/>
                              <a:ea typeface="+mn-ea"/>
                              <a:cs typeface="+mn-cs"/>
                            </a:defRPr>
                          </a:lvl8pPr>
                          <a:lvl9pPr marL="3657600" algn="l" defTabSz="914400" rtl="0" eaLnBrk="1" latinLnBrk="0" hangingPunct="1">
                            <a:defRPr sz="1400" kern="1200">
                              <a:solidFill>
                                <a:srgbClr val="000099"/>
                              </a:solidFill>
                              <a:latin typeface="Tahoma" pitchFamily="34" charset="0"/>
                              <a:ea typeface="+mn-ea"/>
                              <a:cs typeface="+mn-cs"/>
                            </a:defRPr>
                          </a:lvl9pPr>
                        </a:lstStyle>
                        <a:p>
                          <a:pPr algn="r"/>
                          <a:r>
                            <a:rPr lang="en-US" sz="3600" dirty="0">
                              <a:solidFill>
                                <a:srgbClr val="000000"/>
                              </a:solidFill>
                              <a:latin typeface="Arial" charset="0"/>
                            </a:rPr>
                            <a:t>Auto</a:t>
                          </a:r>
                          <a:endParaRPr lang="en-US" sz="5400" dirty="0">
                            <a:solidFill>
                              <a:srgbClr val="FFFFCC"/>
                            </a:solidFill>
                            <a:latin typeface="Arial" charset="0"/>
                          </a:endParaRPr>
                        </a:p>
                      </a:txBody>
                      <a:useSpRect/>
                    </a:txSp>
                  </a:sp>
                </lc:lockedCanvas>
              </a:graphicData>
            </a:graphic>
          </wp:inline>
        </w:drawing>
      </w:r>
    </w:p>
    <w:p w:rsidR="008F1B26" w:rsidRDefault="008F1B26" w:rsidP="008F1B26">
      <w:pPr>
        <w:pStyle w:val="NNMainBody"/>
      </w:pPr>
      <w:r w:rsidRPr="00F311E4">
        <w:t>Arlington has been able to grow rapidly without major expansions in the</w:t>
      </w:r>
      <w:r>
        <w:t xml:space="preserve"> </w:t>
      </w:r>
      <w:r w:rsidRPr="00F311E4">
        <w:t>highway network. It has also achieved economic prosperity, with the lowest property tax</w:t>
      </w:r>
      <w:r>
        <w:t xml:space="preserve"> </w:t>
      </w:r>
      <w:r w:rsidRPr="00F311E4">
        <w:t>rate among the major cities and towns in Northern Virginia and a AAA bond rating. The</w:t>
      </w:r>
      <w:r>
        <w:t xml:space="preserve"> </w:t>
      </w:r>
      <w:r w:rsidRPr="00F311E4">
        <w:t>Metrorail corridors provide 50% of the County’s tax base, on only 7% of the land. The</w:t>
      </w:r>
      <w:r>
        <w:t xml:space="preserve"> </w:t>
      </w:r>
      <w:r w:rsidRPr="00F311E4">
        <w:t>County also enjoys far lower vacancy rates and higher lease and sale prices, compared</w:t>
      </w:r>
      <w:r>
        <w:t xml:space="preserve"> </w:t>
      </w:r>
      <w:r w:rsidRPr="00F311E4">
        <w:t>to other locations in the region.</w:t>
      </w:r>
    </w:p>
    <w:p w:rsidR="009E5657" w:rsidRPr="00A167EC" w:rsidRDefault="005123BD" w:rsidP="004C24A1">
      <w:r>
        <w:rPr>
          <w:rFonts w:cs="Arial"/>
          <w:szCs w:val="22"/>
        </w:rPr>
        <w:t xml:space="preserve">Another success is Market Common, a mixed-use TOD </w:t>
      </w:r>
      <w:r w:rsidR="0096558B">
        <w:rPr>
          <w:rFonts w:cs="Arial"/>
          <w:szCs w:val="22"/>
        </w:rPr>
        <w:t>near</w:t>
      </w:r>
      <w:r w:rsidR="0096558B">
        <w:rPr>
          <w:rFonts w:cs="Arial"/>
          <w:szCs w:val="22"/>
        </w:rPr>
        <w:t xml:space="preserve"> </w:t>
      </w:r>
      <w:r>
        <w:rPr>
          <w:rFonts w:cs="Arial"/>
          <w:szCs w:val="22"/>
        </w:rPr>
        <w:t>Clarendon Station. Here, the parking requirement is 25% less than code</w:t>
      </w:r>
      <w:r w:rsidR="0096558B">
        <w:rPr>
          <w:rFonts w:cs="Arial"/>
          <w:szCs w:val="22"/>
        </w:rPr>
        <w:t>, even though the station is a short walk away</w:t>
      </w:r>
      <w:r>
        <w:rPr>
          <w:rFonts w:cs="Arial"/>
          <w:szCs w:val="22"/>
        </w:rPr>
        <w:t>. Market Common is making use of several innovative techniques, including shared parking, with no assigned spaces for residents, shoppers or commuters. Residential parking is unbundled, in which parking</w:t>
      </w:r>
      <w:r w:rsidR="0096558B">
        <w:rPr>
          <w:rFonts w:cs="Arial"/>
          <w:szCs w:val="22"/>
        </w:rPr>
        <w:t xml:space="preserve"> cost</w:t>
      </w:r>
      <w:r>
        <w:rPr>
          <w:rFonts w:cs="Arial"/>
          <w:szCs w:val="22"/>
        </w:rPr>
        <w:t xml:space="preserve"> is not included with housing</w:t>
      </w:r>
      <w:r w:rsidR="0096558B">
        <w:rPr>
          <w:rFonts w:cs="Arial"/>
          <w:szCs w:val="22"/>
        </w:rPr>
        <w:t xml:space="preserve"> cost</w:t>
      </w:r>
      <w:r>
        <w:rPr>
          <w:rFonts w:cs="Arial"/>
          <w:szCs w:val="22"/>
        </w:rPr>
        <w:t xml:space="preserve">, but is a separate, optional purchase. Residents pay $25 per month for parking, </w:t>
      </w:r>
      <w:r w:rsidR="0096558B">
        <w:rPr>
          <w:rFonts w:cs="Arial"/>
          <w:szCs w:val="22"/>
        </w:rPr>
        <w:t xml:space="preserve">while </w:t>
      </w:r>
      <w:r>
        <w:rPr>
          <w:rFonts w:cs="Arial"/>
          <w:szCs w:val="22"/>
        </w:rPr>
        <w:t xml:space="preserve">others pay daily.  With parking at 25% below code, the property management says that 40% of spaces are not being used. </w:t>
      </w:r>
    </w:p>
    <w:sectPr w:rsidR="009E5657" w:rsidRPr="00A167EC" w:rsidSect="006A75FE">
      <w:footerReference w:type="default" r:id="rId16"/>
      <w:pgSz w:w="12240" w:h="15840" w:code="218"/>
      <w:pgMar w:top="720" w:right="1152" w:bottom="720" w:left="1152" w:header="720" w:footer="432" w:gutter="432"/>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414" w:rsidRDefault="00B31414" w:rsidP="00E13239">
      <w:r>
        <w:separator/>
      </w:r>
    </w:p>
  </w:endnote>
  <w:endnote w:type="continuationSeparator" w:id="1">
    <w:p w:rsidR="00B31414" w:rsidRDefault="00B31414" w:rsidP="00E13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95" w:rsidRPr="00D3396B" w:rsidRDefault="00AE7D95" w:rsidP="000F3859">
    <w:pPr>
      <w:pStyle w:val="Footer"/>
      <w:pBdr>
        <w:top w:val="single" w:sz="6" w:space="3" w:color="auto"/>
      </w:pBdr>
      <w:spacing w:before="360"/>
    </w:pPr>
    <w:r w:rsidRPr="00D3396B">
      <w:t xml:space="preserve">Page </w:t>
    </w:r>
    <w:fldSimple w:instr=" PAGE   \* MERGEFORMAT ">
      <w:r>
        <w:rPr>
          <w:noProof/>
        </w:rPr>
        <w:t>1</w:t>
      </w:r>
    </w:fldSimple>
    <w:r w:rsidRPr="00D3396B">
      <w:t xml:space="preserve"> • Nelson\Nygaard Consulting Associates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95" w:rsidRPr="00D3396B" w:rsidRDefault="00AE7D95" w:rsidP="009E5657">
    <w:pPr>
      <w:pStyle w:val="Footer"/>
      <w:pBdr>
        <w:top w:val="single" w:sz="6" w:space="3" w:color="auto"/>
      </w:pBdr>
      <w:spacing w:before="360"/>
    </w:pPr>
    <w:r w:rsidRPr="00D3396B">
      <w:t>Nelson\Nygaard Consulting Associates Inc.</w:t>
    </w:r>
    <w:r w:rsidRPr="009E5657">
      <w:t xml:space="preserve"> </w:t>
    </w:r>
    <w:r w:rsidRPr="00D3396B">
      <w:t>•</w:t>
    </w:r>
    <w:r>
      <w:t xml:space="preserve"> </w:t>
    </w:r>
    <w:r w:rsidRPr="00D3396B">
      <w:t xml:space="preserve">Page </w:t>
    </w:r>
    <w:fldSimple w:instr=" PAGE   \* MERGEFORMAT ">
      <w:r w:rsidR="006331FE">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414" w:rsidRDefault="00B31414" w:rsidP="00E13239">
      <w:r>
        <w:separator/>
      </w:r>
    </w:p>
  </w:footnote>
  <w:footnote w:type="continuationSeparator" w:id="1">
    <w:p w:rsidR="00B31414" w:rsidRDefault="00B31414" w:rsidP="00E13239">
      <w:r>
        <w:continuationSeparator/>
      </w:r>
    </w:p>
  </w:footnote>
  <w:footnote w:id="2">
    <w:p w:rsidR="00AE7D95" w:rsidRDefault="00AE7D95" w:rsidP="005123BD">
      <w:pPr>
        <w:pStyle w:val="FootnoteText"/>
      </w:pPr>
      <w:r>
        <w:rPr>
          <w:rStyle w:val="FootnoteReference"/>
          <w:rFonts w:eastAsiaTheme="majorEastAsia"/>
        </w:rPr>
        <w:footnoteRef/>
      </w:r>
      <w:r>
        <w:t xml:space="preserve"> </w:t>
      </w:r>
      <w:hyperlink r:id="rId1" w:history="1">
        <w:r>
          <w:rPr>
            <w:rStyle w:val="Hyperlink"/>
          </w:rPr>
          <w:t>http://getdowntown.org/</w:t>
        </w:r>
      </w:hyperlink>
    </w:p>
  </w:footnote>
  <w:footnote w:id="3">
    <w:p w:rsidR="00AE7D95" w:rsidRDefault="00AE7D95" w:rsidP="005123BD">
      <w:pPr>
        <w:pStyle w:val="FootnoteText"/>
      </w:pPr>
      <w:r>
        <w:rPr>
          <w:rStyle w:val="FootnoteReference"/>
          <w:rFonts w:eastAsiaTheme="majorEastAsia"/>
        </w:rPr>
        <w:footnoteRef/>
      </w:r>
      <w:r>
        <w:t xml:space="preserve"> In 2009, the fee was $5 per year, although, to participate, employers must purchase a pass for all full-time employees.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C440F8"/>
    <w:lvl w:ilvl="0">
      <w:start w:val="1"/>
      <w:numFmt w:val="decimal"/>
      <w:lvlText w:val="%1."/>
      <w:lvlJc w:val="left"/>
      <w:pPr>
        <w:tabs>
          <w:tab w:val="num" w:pos="1800"/>
        </w:tabs>
        <w:ind w:left="1800" w:hanging="360"/>
      </w:pPr>
    </w:lvl>
  </w:abstractNum>
  <w:abstractNum w:abstractNumId="1">
    <w:nsid w:val="FFFFFF7D"/>
    <w:multiLevelType w:val="singleLevel"/>
    <w:tmpl w:val="A06E0756"/>
    <w:lvl w:ilvl="0">
      <w:start w:val="1"/>
      <w:numFmt w:val="decimal"/>
      <w:lvlText w:val="%1."/>
      <w:lvlJc w:val="left"/>
      <w:pPr>
        <w:tabs>
          <w:tab w:val="num" w:pos="1440"/>
        </w:tabs>
        <w:ind w:left="1440" w:hanging="360"/>
      </w:pPr>
    </w:lvl>
  </w:abstractNum>
  <w:abstractNum w:abstractNumId="2">
    <w:nsid w:val="FFFFFF7E"/>
    <w:multiLevelType w:val="singleLevel"/>
    <w:tmpl w:val="8278BE40"/>
    <w:lvl w:ilvl="0">
      <w:start w:val="1"/>
      <w:numFmt w:val="decimal"/>
      <w:lvlText w:val="%1."/>
      <w:lvlJc w:val="left"/>
      <w:pPr>
        <w:tabs>
          <w:tab w:val="num" w:pos="1080"/>
        </w:tabs>
        <w:ind w:left="1080" w:hanging="360"/>
      </w:pPr>
    </w:lvl>
  </w:abstractNum>
  <w:abstractNum w:abstractNumId="3">
    <w:nsid w:val="FFFFFF7F"/>
    <w:multiLevelType w:val="singleLevel"/>
    <w:tmpl w:val="F6A009DC"/>
    <w:lvl w:ilvl="0">
      <w:start w:val="1"/>
      <w:numFmt w:val="decimal"/>
      <w:lvlText w:val="%1."/>
      <w:lvlJc w:val="left"/>
      <w:pPr>
        <w:tabs>
          <w:tab w:val="num" w:pos="720"/>
        </w:tabs>
        <w:ind w:left="720" w:hanging="360"/>
      </w:pPr>
    </w:lvl>
  </w:abstractNum>
  <w:abstractNum w:abstractNumId="4">
    <w:nsid w:val="FFFFFF82"/>
    <w:multiLevelType w:val="singleLevel"/>
    <w:tmpl w:val="99027A1A"/>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DC2C0294"/>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B43E6310"/>
    <w:lvl w:ilvl="0">
      <w:start w:val="1"/>
      <w:numFmt w:val="decimal"/>
      <w:lvlText w:val="%1."/>
      <w:lvlJc w:val="left"/>
      <w:pPr>
        <w:tabs>
          <w:tab w:val="num" w:pos="360"/>
        </w:tabs>
        <w:ind w:left="360" w:hanging="360"/>
      </w:pPr>
    </w:lvl>
  </w:abstractNum>
  <w:abstractNum w:abstractNumId="7">
    <w:nsid w:val="FFFFFF89"/>
    <w:multiLevelType w:val="singleLevel"/>
    <w:tmpl w:val="DCF08482"/>
    <w:lvl w:ilvl="0">
      <w:start w:val="1"/>
      <w:numFmt w:val="bullet"/>
      <w:lvlText w:val=""/>
      <w:lvlJc w:val="left"/>
      <w:pPr>
        <w:tabs>
          <w:tab w:val="num" w:pos="360"/>
        </w:tabs>
        <w:ind w:left="360" w:hanging="360"/>
      </w:pPr>
      <w:rPr>
        <w:rFonts w:ascii="Symbol" w:hAnsi="Symbol" w:hint="default"/>
      </w:rPr>
    </w:lvl>
  </w:abstractNum>
  <w:abstractNum w:abstractNumId="8">
    <w:nsid w:val="012F07C7"/>
    <w:multiLevelType w:val="multilevel"/>
    <w:tmpl w:val="6DF6FCCA"/>
    <w:numStyleLink w:val="NNBulletListLast"/>
  </w:abstractNum>
  <w:abstractNum w:abstractNumId="9">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8594F6A"/>
    <w:multiLevelType w:val="hybridMultilevel"/>
    <w:tmpl w:val="6414E1C2"/>
    <w:lvl w:ilvl="0" w:tplc="9126DCCA">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7D689526">
      <w:start w:val="1"/>
      <w:numFmt w:val="bullet"/>
      <w:lvlText w:val="-"/>
      <w:lvlJc w:val="left"/>
      <w:pPr>
        <w:ind w:left="3960" w:hanging="360"/>
      </w:pPr>
      <w:rPr>
        <w:rFonts w:ascii="Courier New" w:hAnsi="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F27BD0"/>
    <w:multiLevelType w:val="multilevel"/>
    <w:tmpl w:val="8F541FB6"/>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o"/>
      <w:lvlJc w:val="left"/>
      <w:pPr>
        <w:tabs>
          <w:tab w:val="num" w:pos="360"/>
        </w:tabs>
        <w:ind w:left="1440" w:hanging="360"/>
      </w:pPr>
      <w:rPr>
        <w:rFonts w:ascii="Courier New" w:hAnsi="Courier New" w:hint="default"/>
      </w:rPr>
    </w:lvl>
    <w:lvl w:ilvl="3">
      <w:start w:val="1"/>
      <w:numFmt w:val="bullet"/>
      <w:lvlText w:val=""/>
      <w:lvlJc w:val="left"/>
      <w:pPr>
        <w:ind w:left="1800" w:hanging="360"/>
      </w:pPr>
      <w:rPr>
        <w:rFonts w:ascii="Wingdings" w:hAnsi="Wingdings" w:hint="default"/>
      </w:rPr>
    </w:lvl>
    <w:lvl w:ilvl="4">
      <w:start w:val="1"/>
      <w:numFmt w:val="bullet"/>
      <w:lvlRestart w:val="0"/>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42"/>
        <w:szCs w:val="0"/>
        <w:u w:val="none"/>
        <w:vertAlign w:val="baseline"/>
        <w:em w:val="no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32A064CF"/>
    <w:multiLevelType w:val="multilevel"/>
    <w:tmpl w:val="EC5C38A8"/>
    <w:numStyleLink w:val="NNBasicBullets"/>
  </w:abstractNum>
  <w:abstractNum w:abstractNumId="14">
    <w:nsid w:val="3C2C2B6B"/>
    <w:multiLevelType w:val="hybridMultilevel"/>
    <w:tmpl w:val="9752D2D2"/>
    <w:lvl w:ilvl="0" w:tplc="8444A08A">
      <w:start w:val="1"/>
      <w:numFmt w:val="decimal"/>
      <w:pStyle w:val="NNNumbList"/>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5DF4BBC6">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nsid w:val="42230D09"/>
    <w:multiLevelType w:val="hybridMultilevel"/>
    <w:tmpl w:val="E63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D726E"/>
    <w:multiLevelType w:val="hybridMultilevel"/>
    <w:tmpl w:val="760A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770C3"/>
    <w:multiLevelType w:val="hybridMultilevel"/>
    <w:tmpl w:val="5C2C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B1183"/>
    <w:multiLevelType w:val="hybridMultilevel"/>
    <w:tmpl w:val="E7820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842E39"/>
    <w:multiLevelType w:val="hybridMultilevel"/>
    <w:tmpl w:val="08FE4252"/>
    <w:lvl w:ilvl="0" w:tplc="9AE4BEAA">
      <w:start w:val="1"/>
      <w:numFmt w:val="upperLetter"/>
      <w:pStyle w:val="NNAppendixHead"/>
      <w:lvlText w:val="Appendix %1."/>
      <w:lvlJc w:val="left"/>
      <w:pPr>
        <w:ind w:left="3024" w:hanging="3024"/>
      </w:pPr>
      <w:rPr>
        <w:rFonts w:ascii="Arial Black" w:hAnsi="Arial Black" w:hint="default"/>
        <w:b w:val="0"/>
        <w:i w:val="0"/>
        <w:caps w:val="0"/>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30A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3856B65"/>
    <w:multiLevelType w:val="hybridMultilevel"/>
    <w:tmpl w:val="A0AA0B6E"/>
    <w:lvl w:ilvl="0" w:tplc="33B2A954">
      <w:start w:val="2"/>
      <w:numFmt w:val="decimal"/>
      <w:lvlText w:val="Chapter %1."/>
      <w:lvlJc w:val="left"/>
      <w:pPr>
        <w:ind w:left="720" w:hanging="360"/>
      </w:pPr>
      <w:rPr>
        <w:rFonts w:ascii="Arial Black" w:hAnsi="Arial Black"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42"/>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E0D19"/>
    <w:multiLevelType w:val="multilevel"/>
    <w:tmpl w:val="EC5C38A8"/>
    <w:styleLink w:val="NNBasicBullets"/>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56AE1107"/>
    <w:multiLevelType w:val="multilevel"/>
    <w:tmpl w:val="8FA4E9F4"/>
    <w:lvl w:ilvl="0">
      <w:start w:val="1"/>
      <w:numFmt w:val="bullet"/>
      <w:pStyle w:val="NNBullets"/>
      <w:lvlText w:val=""/>
      <w:lvlJc w:val="left"/>
      <w:pPr>
        <w:ind w:left="3600" w:hanging="360"/>
      </w:pPr>
      <w:rPr>
        <w:rFonts w:ascii="Symbol" w:hAnsi="Symbol" w:hint="default"/>
      </w:rPr>
    </w:lvl>
    <w:lvl w:ilvl="1">
      <w:start w:val="1"/>
      <w:numFmt w:val="bullet"/>
      <w:pStyle w:val="NNBullets2"/>
      <w:lvlText w:val=""/>
      <w:lvlJc w:val="left"/>
      <w:pPr>
        <w:tabs>
          <w:tab w:val="num" w:pos="2880"/>
        </w:tabs>
        <w:ind w:left="3960" w:hanging="360"/>
      </w:pPr>
      <w:rPr>
        <w:rFonts w:ascii="Symbol" w:hAnsi="Symbol" w:hint="default"/>
      </w:rPr>
    </w:lvl>
    <w:lvl w:ilvl="2">
      <w:start w:val="1"/>
      <w:numFmt w:val="bullet"/>
      <w:pStyle w:val="NNBullets3"/>
      <w:lvlText w:val="o"/>
      <w:lvlJc w:val="left"/>
      <w:pPr>
        <w:tabs>
          <w:tab w:val="num" w:pos="3240"/>
        </w:tabs>
        <w:ind w:left="4320" w:hanging="360"/>
      </w:pPr>
      <w:rPr>
        <w:rFonts w:ascii="Courier New" w:hAnsi="Courier New" w:hint="default"/>
      </w:rPr>
    </w:lvl>
    <w:lvl w:ilvl="3">
      <w:start w:val="1"/>
      <w:numFmt w:val="bullet"/>
      <w:pStyle w:val="NNBullets4"/>
      <w:lvlText w:val=""/>
      <w:lvlJc w:val="left"/>
      <w:pPr>
        <w:ind w:left="4680" w:hanging="360"/>
      </w:pPr>
      <w:rPr>
        <w:rFonts w:ascii="Wingdings" w:hAnsi="Wingdings" w:hint="default"/>
      </w:rPr>
    </w:lvl>
    <w:lvl w:ilvl="4">
      <w:start w:val="1"/>
      <w:numFmt w:val="bullet"/>
      <w:lvlRestart w:val="0"/>
      <w:lvlText w:val=""/>
      <w:lvlJc w:val="left"/>
      <w:pPr>
        <w:ind w:left="5040" w:hanging="360"/>
      </w:pPr>
      <w:rPr>
        <w:rFonts w:ascii="Symbol" w:hAnsi="Symbol"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8C41805"/>
    <w:multiLevelType w:val="hybridMultilevel"/>
    <w:tmpl w:val="FDA65BB2"/>
    <w:lvl w:ilvl="0" w:tplc="18B2CEEC">
      <w:start w:val="1"/>
      <w:numFmt w:val="decimal"/>
      <w:pStyle w:val="Heading1"/>
      <w:lvlText w:val="Chapter %1."/>
      <w:lvlJc w:val="left"/>
      <w:pPr>
        <w:ind w:left="2664" w:hanging="2664"/>
      </w:pPr>
      <w:rPr>
        <w:rFonts w:ascii="Arial Black" w:hAnsi="Arial Black" w:hint="default"/>
        <w:b w:val="0"/>
        <w:bCs w:val="0"/>
        <w:i w:val="0"/>
        <w:iCs w:val="0"/>
        <w:caps w:val="0"/>
        <w:smallCaps w:val="0"/>
        <w:strike w:val="0"/>
        <w:dstrike w:val="0"/>
        <w:outline w:val="0"/>
        <w:shadow w:val="0"/>
        <w:emboss w:val="0"/>
        <w:imprint w:val="0"/>
        <w:snapToGrid w:val="0"/>
        <w:vanish w:val="0"/>
        <w:color w:val="595959" w:themeColor="text1" w:themeTint="A6"/>
        <w:spacing w:val="0"/>
        <w:w w:val="0"/>
        <w:kern w:val="0"/>
        <w:position w:val="0"/>
        <w:sz w:val="42"/>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D5968"/>
    <w:multiLevelType w:val="multilevel"/>
    <w:tmpl w:val="6DF6FCCA"/>
    <w:styleLink w:val="NNBulletListLast"/>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o"/>
      <w:lvlJc w:val="left"/>
      <w:pPr>
        <w:tabs>
          <w:tab w:val="num" w:pos="360"/>
        </w:tabs>
        <w:ind w:left="1440" w:hanging="360"/>
      </w:pPr>
      <w:rPr>
        <w:rFonts w:ascii="Courier New" w:hAnsi="Courier New" w:hint="default"/>
      </w:rPr>
    </w:lvl>
    <w:lvl w:ilvl="3">
      <w:start w:val="1"/>
      <w:numFmt w:val="bullet"/>
      <w:lvlText w:val=""/>
      <w:lvlJc w:val="left"/>
      <w:pPr>
        <w:ind w:left="1800" w:hanging="360"/>
      </w:pPr>
      <w:rPr>
        <w:rFonts w:ascii="Wingdings" w:hAnsi="Wingdings" w:hint="default"/>
      </w:rPr>
    </w:lvl>
    <w:lvl w:ilvl="4">
      <w:start w:val="1"/>
      <w:numFmt w:val="bullet"/>
      <w:lvlRestart w:val="0"/>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6">
    <w:nsid w:val="63700FA6"/>
    <w:multiLevelType w:val="multilevel"/>
    <w:tmpl w:val="EC5C38A8"/>
    <w:numStyleLink w:val="NNBasicBullets"/>
  </w:abstractNum>
  <w:abstractNum w:abstractNumId="27">
    <w:nsid w:val="728B08A9"/>
    <w:multiLevelType w:val="hybridMultilevel"/>
    <w:tmpl w:val="BD68D5B2"/>
    <w:lvl w:ilvl="0" w:tplc="33B2A954">
      <w:start w:val="2"/>
      <w:numFmt w:val="decimal"/>
      <w:lvlText w:val="Chapter %1."/>
      <w:lvlJc w:val="left"/>
      <w:pPr>
        <w:ind w:left="720" w:hanging="360"/>
      </w:pPr>
      <w:rPr>
        <w:rFonts w:ascii="Arial Black" w:hAnsi="Arial Black"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42"/>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1"/>
  </w:num>
  <w:num w:numId="4">
    <w:abstractNumId w:val="27"/>
  </w:num>
  <w:num w:numId="5">
    <w:abstractNumId w:val="24"/>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num>
  <w:num w:numId="18">
    <w:abstractNumId w:val="19"/>
    <w:lvlOverride w:ilvl="0">
      <w:startOverride w:val="1"/>
    </w:lvlOverride>
  </w:num>
  <w:num w:numId="19">
    <w:abstractNumId w:val="13"/>
  </w:num>
  <w:num w:numId="20">
    <w:abstractNumId w:val="23"/>
  </w:num>
  <w:num w:numId="21">
    <w:abstractNumId w:val="20"/>
  </w:num>
  <w:num w:numId="22">
    <w:abstractNumId w:val="23"/>
    <w:lvlOverride w:ilvl="0">
      <w:lvl w:ilvl="0">
        <w:start w:val="1"/>
        <w:numFmt w:val="bullet"/>
        <w:pStyle w:val="NNBullets"/>
        <w:lvlText w:val=""/>
        <w:lvlJc w:val="left"/>
        <w:pPr>
          <w:ind w:left="720" w:hanging="360"/>
        </w:pPr>
        <w:rPr>
          <w:rFonts w:ascii="Symbol" w:hAnsi="Symbol" w:hint="default"/>
        </w:rPr>
      </w:lvl>
    </w:lvlOverride>
    <w:lvlOverride w:ilvl="1">
      <w:lvl w:ilvl="1">
        <w:start w:val="1"/>
        <w:numFmt w:val="bullet"/>
        <w:pStyle w:val="NNBullets2"/>
        <w:lvlText w:val="o"/>
        <w:lvlJc w:val="left"/>
        <w:pPr>
          <w:ind w:left="1440" w:hanging="360"/>
        </w:pPr>
        <w:rPr>
          <w:rFonts w:ascii="Courier New" w:hAnsi="Courier New" w:hint="default"/>
        </w:rPr>
      </w:lvl>
    </w:lvlOverride>
    <w:lvlOverride w:ilvl="2">
      <w:lvl w:ilvl="2">
        <w:start w:val="1"/>
        <w:numFmt w:val="bullet"/>
        <w:pStyle w:val="NNBullets3"/>
        <w:lvlText w:val=""/>
        <w:lvlJc w:val="left"/>
        <w:pPr>
          <w:ind w:left="2160" w:hanging="360"/>
        </w:pPr>
        <w:rPr>
          <w:rFonts w:ascii="Wingdings" w:hAnsi="Wingdings" w:hint="default"/>
        </w:rPr>
      </w:lvl>
    </w:lvlOverride>
    <w:lvlOverride w:ilvl="3">
      <w:lvl w:ilvl="3">
        <w:start w:val="1"/>
        <w:numFmt w:val="bullet"/>
        <w:pStyle w:val="NNBullets4"/>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abstractNumId w:val="23"/>
  </w:num>
  <w:num w:numId="24">
    <w:abstractNumId w:val="10"/>
  </w:num>
  <w:num w:numId="25">
    <w:abstractNumId w:val="23"/>
  </w:num>
  <w:num w:numId="26">
    <w:abstractNumId w:val="25"/>
  </w:num>
  <w:num w:numId="27">
    <w:abstractNumId w:val="11"/>
  </w:num>
  <w:num w:numId="28">
    <w:abstractNumId w:val="8"/>
  </w:num>
  <w:num w:numId="29">
    <w:abstractNumId w:val="18"/>
  </w:num>
  <w:num w:numId="30">
    <w:abstractNumId w:val="14"/>
  </w:num>
  <w:num w:numId="31">
    <w:abstractNumId w:val="14"/>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6"/>
  </w:num>
  <w:num w:numId="38">
    <w:abstractNumId w:val="17"/>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mirrorMargins/>
  <w:stylePaneFormatFilter w:val="7804"/>
  <w:documentProtection w:edit="forms" w:enforcement="0"/>
  <w:defaultTabStop w:val="720"/>
  <w:clickAndTypeStyle w:val="NNMainBody"/>
  <w:drawingGridHorizontalSpacing w:val="110"/>
  <w:displayHorizontalDrawingGridEvery w:val="2"/>
  <w:characterSpacingControl w:val="doNotCompress"/>
  <w:hdrShapeDefaults>
    <o:shapedefaults v:ext="edit" spidmax="182274"/>
  </w:hdrShapeDefaults>
  <w:footnotePr>
    <w:footnote w:id="0"/>
    <w:footnote w:id="1"/>
  </w:footnotePr>
  <w:endnotePr>
    <w:endnote w:id="0"/>
    <w:endnote w:id="1"/>
  </w:endnotePr>
  <w:compat/>
  <w:rsids>
    <w:rsidRoot w:val="00831A64"/>
    <w:rsid w:val="0000163C"/>
    <w:rsid w:val="00002429"/>
    <w:rsid w:val="00003521"/>
    <w:rsid w:val="0000476F"/>
    <w:rsid w:val="0000494E"/>
    <w:rsid w:val="00005E50"/>
    <w:rsid w:val="000065B6"/>
    <w:rsid w:val="000065DC"/>
    <w:rsid w:val="00007DEE"/>
    <w:rsid w:val="00007E3E"/>
    <w:rsid w:val="00010845"/>
    <w:rsid w:val="00010BF7"/>
    <w:rsid w:val="00010EAA"/>
    <w:rsid w:val="00012EAF"/>
    <w:rsid w:val="0001545B"/>
    <w:rsid w:val="000154F3"/>
    <w:rsid w:val="00015C81"/>
    <w:rsid w:val="00016CFC"/>
    <w:rsid w:val="0001786E"/>
    <w:rsid w:val="0002034E"/>
    <w:rsid w:val="00020D95"/>
    <w:rsid w:val="00020E14"/>
    <w:rsid w:val="00022971"/>
    <w:rsid w:val="0002359A"/>
    <w:rsid w:val="00023F3F"/>
    <w:rsid w:val="0002627C"/>
    <w:rsid w:val="00026B5C"/>
    <w:rsid w:val="00026D2B"/>
    <w:rsid w:val="000272BD"/>
    <w:rsid w:val="00027922"/>
    <w:rsid w:val="00030016"/>
    <w:rsid w:val="00031366"/>
    <w:rsid w:val="000314C1"/>
    <w:rsid w:val="000325AD"/>
    <w:rsid w:val="000325D3"/>
    <w:rsid w:val="0003319F"/>
    <w:rsid w:val="000346D5"/>
    <w:rsid w:val="00034F99"/>
    <w:rsid w:val="00036923"/>
    <w:rsid w:val="0003787B"/>
    <w:rsid w:val="00042091"/>
    <w:rsid w:val="00042932"/>
    <w:rsid w:val="00045E95"/>
    <w:rsid w:val="000502C0"/>
    <w:rsid w:val="00050FC9"/>
    <w:rsid w:val="000511C3"/>
    <w:rsid w:val="0005326E"/>
    <w:rsid w:val="000533C4"/>
    <w:rsid w:val="0005386B"/>
    <w:rsid w:val="00055A31"/>
    <w:rsid w:val="00055E95"/>
    <w:rsid w:val="00056548"/>
    <w:rsid w:val="000569A7"/>
    <w:rsid w:val="0005700F"/>
    <w:rsid w:val="00057760"/>
    <w:rsid w:val="00060486"/>
    <w:rsid w:val="00061DDB"/>
    <w:rsid w:val="00061EA1"/>
    <w:rsid w:val="00066E96"/>
    <w:rsid w:val="000672CD"/>
    <w:rsid w:val="0006747E"/>
    <w:rsid w:val="00071C14"/>
    <w:rsid w:val="00071CF4"/>
    <w:rsid w:val="0007386D"/>
    <w:rsid w:val="00081EF9"/>
    <w:rsid w:val="00083BA1"/>
    <w:rsid w:val="0008455D"/>
    <w:rsid w:val="00085201"/>
    <w:rsid w:val="00086A4F"/>
    <w:rsid w:val="00087B50"/>
    <w:rsid w:val="000903BF"/>
    <w:rsid w:val="00090596"/>
    <w:rsid w:val="00090966"/>
    <w:rsid w:val="00091F06"/>
    <w:rsid w:val="00092856"/>
    <w:rsid w:val="00092F55"/>
    <w:rsid w:val="00095898"/>
    <w:rsid w:val="000963C9"/>
    <w:rsid w:val="00096F02"/>
    <w:rsid w:val="000978A0"/>
    <w:rsid w:val="000978FB"/>
    <w:rsid w:val="00097CCF"/>
    <w:rsid w:val="000A16A8"/>
    <w:rsid w:val="000A1CEF"/>
    <w:rsid w:val="000A1FA5"/>
    <w:rsid w:val="000A407D"/>
    <w:rsid w:val="000A416A"/>
    <w:rsid w:val="000A4A52"/>
    <w:rsid w:val="000A54C1"/>
    <w:rsid w:val="000A581A"/>
    <w:rsid w:val="000A642A"/>
    <w:rsid w:val="000A6FF2"/>
    <w:rsid w:val="000A77C0"/>
    <w:rsid w:val="000B1D4C"/>
    <w:rsid w:val="000B2713"/>
    <w:rsid w:val="000B3432"/>
    <w:rsid w:val="000B3510"/>
    <w:rsid w:val="000B4B0E"/>
    <w:rsid w:val="000B7781"/>
    <w:rsid w:val="000C0183"/>
    <w:rsid w:val="000C0E26"/>
    <w:rsid w:val="000C2EEF"/>
    <w:rsid w:val="000C3A45"/>
    <w:rsid w:val="000C4545"/>
    <w:rsid w:val="000C47B6"/>
    <w:rsid w:val="000C5587"/>
    <w:rsid w:val="000C5FA5"/>
    <w:rsid w:val="000C7742"/>
    <w:rsid w:val="000C78E2"/>
    <w:rsid w:val="000D59F5"/>
    <w:rsid w:val="000D5CF4"/>
    <w:rsid w:val="000D69EF"/>
    <w:rsid w:val="000D764B"/>
    <w:rsid w:val="000D7B39"/>
    <w:rsid w:val="000E1522"/>
    <w:rsid w:val="000E1DC9"/>
    <w:rsid w:val="000E2B57"/>
    <w:rsid w:val="000E348C"/>
    <w:rsid w:val="000E4005"/>
    <w:rsid w:val="000E6A87"/>
    <w:rsid w:val="000E73BC"/>
    <w:rsid w:val="000E781E"/>
    <w:rsid w:val="000F0045"/>
    <w:rsid w:val="000F0AA8"/>
    <w:rsid w:val="000F1C2E"/>
    <w:rsid w:val="000F308D"/>
    <w:rsid w:val="000F30CE"/>
    <w:rsid w:val="000F3859"/>
    <w:rsid w:val="000F5F13"/>
    <w:rsid w:val="000F75CD"/>
    <w:rsid w:val="000F782B"/>
    <w:rsid w:val="0010034C"/>
    <w:rsid w:val="00100433"/>
    <w:rsid w:val="00100E54"/>
    <w:rsid w:val="00103B3E"/>
    <w:rsid w:val="00103F94"/>
    <w:rsid w:val="001052BC"/>
    <w:rsid w:val="00105B1A"/>
    <w:rsid w:val="0010612E"/>
    <w:rsid w:val="001064E4"/>
    <w:rsid w:val="0010709A"/>
    <w:rsid w:val="00110180"/>
    <w:rsid w:val="00110322"/>
    <w:rsid w:val="0011111D"/>
    <w:rsid w:val="001111B9"/>
    <w:rsid w:val="001112A8"/>
    <w:rsid w:val="0011163E"/>
    <w:rsid w:val="00112128"/>
    <w:rsid w:val="0011267A"/>
    <w:rsid w:val="0011345C"/>
    <w:rsid w:val="00117196"/>
    <w:rsid w:val="001172F5"/>
    <w:rsid w:val="00117DA2"/>
    <w:rsid w:val="00120438"/>
    <w:rsid w:val="00120971"/>
    <w:rsid w:val="00120FDF"/>
    <w:rsid w:val="00122134"/>
    <w:rsid w:val="0012242F"/>
    <w:rsid w:val="00122DF8"/>
    <w:rsid w:val="00123F6B"/>
    <w:rsid w:val="00124047"/>
    <w:rsid w:val="00125077"/>
    <w:rsid w:val="00125FF0"/>
    <w:rsid w:val="001262DE"/>
    <w:rsid w:val="00126BCA"/>
    <w:rsid w:val="00127257"/>
    <w:rsid w:val="00127528"/>
    <w:rsid w:val="00130470"/>
    <w:rsid w:val="0013167B"/>
    <w:rsid w:val="00131A23"/>
    <w:rsid w:val="00131A87"/>
    <w:rsid w:val="00131ADE"/>
    <w:rsid w:val="00135BDB"/>
    <w:rsid w:val="0013658B"/>
    <w:rsid w:val="00136B12"/>
    <w:rsid w:val="00140256"/>
    <w:rsid w:val="0014030F"/>
    <w:rsid w:val="00140D0F"/>
    <w:rsid w:val="0014162F"/>
    <w:rsid w:val="00141A9D"/>
    <w:rsid w:val="00141E62"/>
    <w:rsid w:val="00141F6F"/>
    <w:rsid w:val="0014209D"/>
    <w:rsid w:val="001432DE"/>
    <w:rsid w:val="001455A2"/>
    <w:rsid w:val="0014674C"/>
    <w:rsid w:val="00146B11"/>
    <w:rsid w:val="00147052"/>
    <w:rsid w:val="0014705E"/>
    <w:rsid w:val="00147C11"/>
    <w:rsid w:val="00151624"/>
    <w:rsid w:val="00153834"/>
    <w:rsid w:val="00155330"/>
    <w:rsid w:val="00156087"/>
    <w:rsid w:val="00157628"/>
    <w:rsid w:val="0016030C"/>
    <w:rsid w:val="00160407"/>
    <w:rsid w:val="001604A2"/>
    <w:rsid w:val="00161088"/>
    <w:rsid w:val="001611C2"/>
    <w:rsid w:val="00161583"/>
    <w:rsid w:val="00161C2C"/>
    <w:rsid w:val="0016210F"/>
    <w:rsid w:val="0016371A"/>
    <w:rsid w:val="001653A5"/>
    <w:rsid w:val="001669A2"/>
    <w:rsid w:val="001706DB"/>
    <w:rsid w:val="00172164"/>
    <w:rsid w:val="00172203"/>
    <w:rsid w:val="00173629"/>
    <w:rsid w:val="001746CD"/>
    <w:rsid w:val="00174816"/>
    <w:rsid w:val="00174842"/>
    <w:rsid w:val="00174FA7"/>
    <w:rsid w:val="001750A1"/>
    <w:rsid w:val="001756BB"/>
    <w:rsid w:val="00176A25"/>
    <w:rsid w:val="00177167"/>
    <w:rsid w:val="0018023C"/>
    <w:rsid w:val="00180FA9"/>
    <w:rsid w:val="001813FB"/>
    <w:rsid w:val="0018240E"/>
    <w:rsid w:val="00182896"/>
    <w:rsid w:val="00182B59"/>
    <w:rsid w:val="00182E2A"/>
    <w:rsid w:val="00182F68"/>
    <w:rsid w:val="00184765"/>
    <w:rsid w:val="00184F13"/>
    <w:rsid w:val="001858A6"/>
    <w:rsid w:val="00185D70"/>
    <w:rsid w:val="00185F57"/>
    <w:rsid w:val="00186168"/>
    <w:rsid w:val="00186694"/>
    <w:rsid w:val="00186FA2"/>
    <w:rsid w:val="00187AD9"/>
    <w:rsid w:val="001903F2"/>
    <w:rsid w:val="00191BFD"/>
    <w:rsid w:val="00192FF6"/>
    <w:rsid w:val="00194762"/>
    <w:rsid w:val="00194DAA"/>
    <w:rsid w:val="001954A2"/>
    <w:rsid w:val="00195C95"/>
    <w:rsid w:val="001971E4"/>
    <w:rsid w:val="00197902"/>
    <w:rsid w:val="001A2652"/>
    <w:rsid w:val="001A27F9"/>
    <w:rsid w:val="001A370F"/>
    <w:rsid w:val="001A3D8B"/>
    <w:rsid w:val="001A4865"/>
    <w:rsid w:val="001A4950"/>
    <w:rsid w:val="001A63DF"/>
    <w:rsid w:val="001A67D7"/>
    <w:rsid w:val="001A77DE"/>
    <w:rsid w:val="001B06BF"/>
    <w:rsid w:val="001B16AC"/>
    <w:rsid w:val="001B25B9"/>
    <w:rsid w:val="001B2B69"/>
    <w:rsid w:val="001B2D99"/>
    <w:rsid w:val="001B2E52"/>
    <w:rsid w:val="001B373C"/>
    <w:rsid w:val="001B413C"/>
    <w:rsid w:val="001B4833"/>
    <w:rsid w:val="001B5B83"/>
    <w:rsid w:val="001B75F7"/>
    <w:rsid w:val="001B7F4A"/>
    <w:rsid w:val="001C04A1"/>
    <w:rsid w:val="001C07F3"/>
    <w:rsid w:val="001C2B4A"/>
    <w:rsid w:val="001C43CF"/>
    <w:rsid w:val="001C75EA"/>
    <w:rsid w:val="001C78E9"/>
    <w:rsid w:val="001C7B59"/>
    <w:rsid w:val="001D00D5"/>
    <w:rsid w:val="001D028F"/>
    <w:rsid w:val="001D0A40"/>
    <w:rsid w:val="001D1486"/>
    <w:rsid w:val="001D1724"/>
    <w:rsid w:val="001D2317"/>
    <w:rsid w:val="001D3607"/>
    <w:rsid w:val="001D3870"/>
    <w:rsid w:val="001D3B3B"/>
    <w:rsid w:val="001D476A"/>
    <w:rsid w:val="001D5F81"/>
    <w:rsid w:val="001D6DF0"/>
    <w:rsid w:val="001E1363"/>
    <w:rsid w:val="001E1897"/>
    <w:rsid w:val="001E1E7E"/>
    <w:rsid w:val="001E251E"/>
    <w:rsid w:val="001E269A"/>
    <w:rsid w:val="001E3D6C"/>
    <w:rsid w:val="001E6203"/>
    <w:rsid w:val="001E6390"/>
    <w:rsid w:val="001E6753"/>
    <w:rsid w:val="001E7BCC"/>
    <w:rsid w:val="001F0532"/>
    <w:rsid w:val="001F0E6B"/>
    <w:rsid w:val="001F16F5"/>
    <w:rsid w:val="001F2A06"/>
    <w:rsid w:val="001F2A49"/>
    <w:rsid w:val="001F2EE4"/>
    <w:rsid w:val="001F390C"/>
    <w:rsid w:val="001F4087"/>
    <w:rsid w:val="001F75BE"/>
    <w:rsid w:val="001F7B2F"/>
    <w:rsid w:val="00200CC0"/>
    <w:rsid w:val="002029B1"/>
    <w:rsid w:val="0020335B"/>
    <w:rsid w:val="00204D13"/>
    <w:rsid w:val="00204D99"/>
    <w:rsid w:val="0020579E"/>
    <w:rsid w:val="0020584F"/>
    <w:rsid w:val="0020591A"/>
    <w:rsid w:val="0020675E"/>
    <w:rsid w:val="002067C6"/>
    <w:rsid w:val="002076AE"/>
    <w:rsid w:val="00207905"/>
    <w:rsid w:val="0021140B"/>
    <w:rsid w:val="0021284D"/>
    <w:rsid w:val="00213C25"/>
    <w:rsid w:val="00214A99"/>
    <w:rsid w:val="00216142"/>
    <w:rsid w:val="00216DFE"/>
    <w:rsid w:val="00217E28"/>
    <w:rsid w:val="0022077E"/>
    <w:rsid w:val="0022239F"/>
    <w:rsid w:val="00226991"/>
    <w:rsid w:val="00227783"/>
    <w:rsid w:val="00230525"/>
    <w:rsid w:val="002311A0"/>
    <w:rsid w:val="002318A0"/>
    <w:rsid w:val="002320C2"/>
    <w:rsid w:val="00233F61"/>
    <w:rsid w:val="00234D2A"/>
    <w:rsid w:val="0024220B"/>
    <w:rsid w:val="002429F9"/>
    <w:rsid w:val="00243210"/>
    <w:rsid w:val="002433EA"/>
    <w:rsid w:val="002457AD"/>
    <w:rsid w:val="0024589D"/>
    <w:rsid w:val="00245FAA"/>
    <w:rsid w:val="002506C2"/>
    <w:rsid w:val="00250749"/>
    <w:rsid w:val="00250842"/>
    <w:rsid w:val="00250E06"/>
    <w:rsid w:val="0025173B"/>
    <w:rsid w:val="0025252B"/>
    <w:rsid w:val="00253589"/>
    <w:rsid w:val="00255197"/>
    <w:rsid w:val="00256912"/>
    <w:rsid w:val="00256ECE"/>
    <w:rsid w:val="00257387"/>
    <w:rsid w:val="0025764C"/>
    <w:rsid w:val="0026001A"/>
    <w:rsid w:val="00260AD7"/>
    <w:rsid w:val="002624AE"/>
    <w:rsid w:val="002629AC"/>
    <w:rsid w:val="002630D3"/>
    <w:rsid w:val="00263110"/>
    <w:rsid w:val="0026397A"/>
    <w:rsid w:val="00263BBE"/>
    <w:rsid w:val="002641E2"/>
    <w:rsid w:val="00265913"/>
    <w:rsid w:val="00266997"/>
    <w:rsid w:val="00270B08"/>
    <w:rsid w:val="002713C7"/>
    <w:rsid w:val="00271AC8"/>
    <w:rsid w:val="00271E6E"/>
    <w:rsid w:val="002745B8"/>
    <w:rsid w:val="00274DC9"/>
    <w:rsid w:val="00275084"/>
    <w:rsid w:val="002762A1"/>
    <w:rsid w:val="002762FD"/>
    <w:rsid w:val="0028025B"/>
    <w:rsid w:val="00281A30"/>
    <w:rsid w:val="00282B1D"/>
    <w:rsid w:val="00282EFB"/>
    <w:rsid w:val="00284CA2"/>
    <w:rsid w:val="002864D3"/>
    <w:rsid w:val="00286878"/>
    <w:rsid w:val="00286CC7"/>
    <w:rsid w:val="00286D8F"/>
    <w:rsid w:val="002870F1"/>
    <w:rsid w:val="002873D8"/>
    <w:rsid w:val="00291FDF"/>
    <w:rsid w:val="00292C79"/>
    <w:rsid w:val="00293CD3"/>
    <w:rsid w:val="00295767"/>
    <w:rsid w:val="002974D8"/>
    <w:rsid w:val="002A0677"/>
    <w:rsid w:val="002A0A9A"/>
    <w:rsid w:val="002A0FA3"/>
    <w:rsid w:val="002A3547"/>
    <w:rsid w:val="002A37B7"/>
    <w:rsid w:val="002A3B78"/>
    <w:rsid w:val="002A52E3"/>
    <w:rsid w:val="002A55F0"/>
    <w:rsid w:val="002A633B"/>
    <w:rsid w:val="002A6F59"/>
    <w:rsid w:val="002B0F89"/>
    <w:rsid w:val="002B40F4"/>
    <w:rsid w:val="002B57DC"/>
    <w:rsid w:val="002B5AD1"/>
    <w:rsid w:val="002B7CF5"/>
    <w:rsid w:val="002C0ADB"/>
    <w:rsid w:val="002C0CE9"/>
    <w:rsid w:val="002C294C"/>
    <w:rsid w:val="002C3C79"/>
    <w:rsid w:val="002C48E6"/>
    <w:rsid w:val="002C4CFC"/>
    <w:rsid w:val="002C556E"/>
    <w:rsid w:val="002C5F12"/>
    <w:rsid w:val="002C62F4"/>
    <w:rsid w:val="002C6EA7"/>
    <w:rsid w:val="002C7B9F"/>
    <w:rsid w:val="002D0FDF"/>
    <w:rsid w:val="002D13CD"/>
    <w:rsid w:val="002D14D4"/>
    <w:rsid w:val="002D26AE"/>
    <w:rsid w:val="002D29C1"/>
    <w:rsid w:val="002D32B2"/>
    <w:rsid w:val="002D4553"/>
    <w:rsid w:val="002D63DD"/>
    <w:rsid w:val="002E0584"/>
    <w:rsid w:val="002E0F1D"/>
    <w:rsid w:val="002E479E"/>
    <w:rsid w:val="002E5018"/>
    <w:rsid w:val="002E57A8"/>
    <w:rsid w:val="002E5A51"/>
    <w:rsid w:val="002E6321"/>
    <w:rsid w:val="002E6CA4"/>
    <w:rsid w:val="002F0482"/>
    <w:rsid w:val="002F4643"/>
    <w:rsid w:val="002F6D60"/>
    <w:rsid w:val="002F6F89"/>
    <w:rsid w:val="002F7F62"/>
    <w:rsid w:val="00300955"/>
    <w:rsid w:val="0030214B"/>
    <w:rsid w:val="003038BC"/>
    <w:rsid w:val="003049E4"/>
    <w:rsid w:val="0030554F"/>
    <w:rsid w:val="00306621"/>
    <w:rsid w:val="003067C2"/>
    <w:rsid w:val="003075B6"/>
    <w:rsid w:val="00307A38"/>
    <w:rsid w:val="00310AFF"/>
    <w:rsid w:val="00311EBF"/>
    <w:rsid w:val="003151AE"/>
    <w:rsid w:val="003175B0"/>
    <w:rsid w:val="00317CF9"/>
    <w:rsid w:val="003214D7"/>
    <w:rsid w:val="003220D0"/>
    <w:rsid w:val="00322302"/>
    <w:rsid w:val="00323804"/>
    <w:rsid w:val="00324082"/>
    <w:rsid w:val="003242A2"/>
    <w:rsid w:val="003242D9"/>
    <w:rsid w:val="00325C0B"/>
    <w:rsid w:val="00325E82"/>
    <w:rsid w:val="003304EF"/>
    <w:rsid w:val="00331029"/>
    <w:rsid w:val="003317F8"/>
    <w:rsid w:val="003327C3"/>
    <w:rsid w:val="003344DD"/>
    <w:rsid w:val="00335644"/>
    <w:rsid w:val="00335AAF"/>
    <w:rsid w:val="00335D9D"/>
    <w:rsid w:val="00340ECE"/>
    <w:rsid w:val="003424FE"/>
    <w:rsid w:val="00342E34"/>
    <w:rsid w:val="00343A10"/>
    <w:rsid w:val="00345DD2"/>
    <w:rsid w:val="00346555"/>
    <w:rsid w:val="0035074B"/>
    <w:rsid w:val="00351590"/>
    <w:rsid w:val="00351EC2"/>
    <w:rsid w:val="00352F9C"/>
    <w:rsid w:val="0035345F"/>
    <w:rsid w:val="0035440D"/>
    <w:rsid w:val="00355065"/>
    <w:rsid w:val="0035561B"/>
    <w:rsid w:val="00355C46"/>
    <w:rsid w:val="00356FE1"/>
    <w:rsid w:val="00357913"/>
    <w:rsid w:val="00357F7C"/>
    <w:rsid w:val="003618C1"/>
    <w:rsid w:val="00362178"/>
    <w:rsid w:val="003625BA"/>
    <w:rsid w:val="00362E85"/>
    <w:rsid w:val="00362F6A"/>
    <w:rsid w:val="00363A0B"/>
    <w:rsid w:val="003646FF"/>
    <w:rsid w:val="003647B3"/>
    <w:rsid w:val="0036530E"/>
    <w:rsid w:val="00365B97"/>
    <w:rsid w:val="003670E6"/>
    <w:rsid w:val="003702AE"/>
    <w:rsid w:val="0037052E"/>
    <w:rsid w:val="00370E23"/>
    <w:rsid w:val="00372B0E"/>
    <w:rsid w:val="0037481D"/>
    <w:rsid w:val="00374AFF"/>
    <w:rsid w:val="00377538"/>
    <w:rsid w:val="00377B52"/>
    <w:rsid w:val="00377CB6"/>
    <w:rsid w:val="0038169B"/>
    <w:rsid w:val="003827EF"/>
    <w:rsid w:val="003841D8"/>
    <w:rsid w:val="00386144"/>
    <w:rsid w:val="00386625"/>
    <w:rsid w:val="00386FB5"/>
    <w:rsid w:val="003938A9"/>
    <w:rsid w:val="00393C49"/>
    <w:rsid w:val="00393F50"/>
    <w:rsid w:val="00396BE6"/>
    <w:rsid w:val="00397868"/>
    <w:rsid w:val="00397E21"/>
    <w:rsid w:val="003A1147"/>
    <w:rsid w:val="003A22C8"/>
    <w:rsid w:val="003A3326"/>
    <w:rsid w:val="003A399B"/>
    <w:rsid w:val="003A3ACE"/>
    <w:rsid w:val="003A4ADA"/>
    <w:rsid w:val="003A6026"/>
    <w:rsid w:val="003A6FFD"/>
    <w:rsid w:val="003A7D5E"/>
    <w:rsid w:val="003B0377"/>
    <w:rsid w:val="003B1D21"/>
    <w:rsid w:val="003B2FA7"/>
    <w:rsid w:val="003B6F89"/>
    <w:rsid w:val="003B7E76"/>
    <w:rsid w:val="003C1E49"/>
    <w:rsid w:val="003C1F17"/>
    <w:rsid w:val="003C2272"/>
    <w:rsid w:val="003C2C5B"/>
    <w:rsid w:val="003C2FCA"/>
    <w:rsid w:val="003C4469"/>
    <w:rsid w:val="003C5F05"/>
    <w:rsid w:val="003C631A"/>
    <w:rsid w:val="003C6325"/>
    <w:rsid w:val="003C70A6"/>
    <w:rsid w:val="003D1FEE"/>
    <w:rsid w:val="003D2030"/>
    <w:rsid w:val="003D25C5"/>
    <w:rsid w:val="003D2E15"/>
    <w:rsid w:val="003D30BD"/>
    <w:rsid w:val="003D345B"/>
    <w:rsid w:val="003D3573"/>
    <w:rsid w:val="003D3E00"/>
    <w:rsid w:val="003D4945"/>
    <w:rsid w:val="003D4FD5"/>
    <w:rsid w:val="003D547F"/>
    <w:rsid w:val="003D64EA"/>
    <w:rsid w:val="003D67DE"/>
    <w:rsid w:val="003E0870"/>
    <w:rsid w:val="003E11B7"/>
    <w:rsid w:val="003E1A8D"/>
    <w:rsid w:val="003E262A"/>
    <w:rsid w:val="003E2F1F"/>
    <w:rsid w:val="003E3A75"/>
    <w:rsid w:val="003E4444"/>
    <w:rsid w:val="003E4A0E"/>
    <w:rsid w:val="003E4D19"/>
    <w:rsid w:val="003E4D83"/>
    <w:rsid w:val="003E6847"/>
    <w:rsid w:val="003E7325"/>
    <w:rsid w:val="003E742B"/>
    <w:rsid w:val="003F0DD5"/>
    <w:rsid w:val="003F16CE"/>
    <w:rsid w:val="003F292F"/>
    <w:rsid w:val="003F2B4A"/>
    <w:rsid w:val="003F2C83"/>
    <w:rsid w:val="003F4C8F"/>
    <w:rsid w:val="003F5418"/>
    <w:rsid w:val="003F59DC"/>
    <w:rsid w:val="00400052"/>
    <w:rsid w:val="0040143A"/>
    <w:rsid w:val="0040311C"/>
    <w:rsid w:val="0040368C"/>
    <w:rsid w:val="00404071"/>
    <w:rsid w:val="00404540"/>
    <w:rsid w:val="0040479E"/>
    <w:rsid w:val="004074CD"/>
    <w:rsid w:val="00407767"/>
    <w:rsid w:val="00407879"/>
    <w:rsid w:val="00407D22"/>
    <w:rsid w:val="00407FE1"/>
    <w:rsid w:val="00411A08"/>
    <w:rsid w:val="00411AE1"/>
    <w:rsid w:val="0041296A"/>
    <w:rsid w:val="00414526"/>
    <w:rsid w:val="0041628E"/>
    <w:rsid w:val="00420909"/>
    <w:rsid w:val="004210FF"/>
    <w:rsid w:val="00422B29"/>
    <w:rsid w:val="0042307B"/>
    <w:rsid w:val="004235EB"/>
    <w:rsid w:val="00424702"/>
    <w:rsid w:val="004250B4"/>
    <w:rsid w:val="00426C34"/>
    <w:rsid w:val="00427155"/>
    <w:rsid w:val="00427356"/>
    <w:rsid w:val="00427560"/>
    <w:rsid w:val="004338B4"/>
    <w:rsid w:val="0043573F"/>
    <w:rsid w:val="004358DE"/>
    <w:rsid w:val="00440430"/>
    <w:rsid w:val="004415F2"/>
    <w:rsid w:val="0044238C"/>
    <w:rsid w:val="00443475"/>
    <w:rsid w:val="004434ED"/>
    <w:rsid w:val="0044388E"/>
    <w:rsid w:val="00444440"/>
    <w:rsid w:val="00444610"/>
    <w:rsid w:val="00445D50"/>
    <w:rsid w:val="00445E50"/>
    <w:rsid w:val="0044633D"/>
    <w:rsid w:val="0044719C"/>
    <w:rsid w:val="004509DF"/>
    <w:rsid w:val="00450C97"/>
    <w:rsid w:val="00451621"/>
    <w:rsid w:val="00452C0E"/>
    <w:rsid w:val="00454211"/>
    <w:rsid w:val="00454448"/>
    <w:rsid w:val="00455BEE"/>
    <w:rsid w:val="0045661C"/>
    <w:rsid w:val="00456795"/>
    <w:rsid w:val="00461AB6"/>
    <w:rsid w:val="0046201F"/>
    <w:rsid w:val="00463F7B"/>
    <w:rsid w:val="00464F10"/>
    <w:rsid w:val="00466410"/>
    <w:rsid w:val="004671DA"/>
    <w:rsid w:val="00470008"/>
    <w:rsid w:val="00470708"/>
    <w:rsid w:val="00473BB5"/>
    <w:rsid w:val="004752C3"/>
    <w:rsid w:val="00475FF7"/>
    <w:rsid w:val="00481334"/>
    <w:rsid w:val="004814E6"/>
    <w:rsid w:val="00482D3C"/>
    <w:rsid w:val="004831EA"/>
    <w:rsid w:val="004839BA"/>
    <w:rsid w:val="00483E2B"/>
    <w:rsid w:val="004861E0"/>
    <w:rsid w:val="00487DEA"/>
    <w:rsid w:val="00490213"/>
    <w:rsid w:val="00490CF6"/>
    <w:rsid w:val="00491205"/>
    <w:rsid w:val="004920ED"/>
    <w:rsid w:val="00492B48"/>
    <w:rsid w:val="00492C02"/>
    <w:rsid w:val="00492D9D"/>
    <w:rsid w:val="0049388D"/>
    <w:rsid w:val="00494426"/>
    <w:rsid w:val="0049525C"/>
    <w:rsid w:val="0049588B"/>
    <w:rsid w:val="00495E5F"/>
    <w:rsid w:val="004962FE"/>
    <w:rsid w:val="004965BD"/>
    <w:rsid w:val="00496A01"/>
    <w:rsid w:val="004970A5"/>
    <w:rsid w:val="004974B6"/>
    <w:rsid w:val="00497734"/>
    <w:rsid w:val="00497889"/>
    <w:rsid w:val="004A0173"/>
    <w:rsid w:val="004A0BB2"/>
    <w:rsid w:val="004A1024"/>
    <w:rsid w:val="004A1365"/>
    <w:rsid w:val="004A191A"/>
    <w:rsid w:val="004A1C46"/>
    <w:rsid w:val="004A2111"/>
    <w:rsid w:val="004A2255"/>
    <w:rsid w:val="004A3139"/>
    <w:rsid w:val="004A59B4"/>
    <w:rsid w:val="004A69F3"/>
    <w:rsid w:val="004B06CB"/>
    <w:rsid w:val="004B0E43"/>
    <w:rsid w:val="004B475B"/>
    <w:rsid w:val="004B4DD6"/>
    <w:rsid w:val="004B4F21"/>
    <w:rsid w:val="004B583B"/>
    <w:rsid w:val="004B7861"/>
    <w:rsid w:val="004C03A1"/>
    <w:rsid w:val="004C109C"/>
    <w:rsid w:val="004C1F53"/>
    <w:rsid w:val="004C24A1"/>
    <w:rsid w:val="004C2F69"/>
    <w:rsid w:val="004C3046"/>
    <w:rsid w:val="004C36D6"/>
    <w:rsid w:val="004C408E"/>
    <w:rsid w:val="004C542A"/>
    <w:rsid w:val="004C5B4F"/>
    <w:rsid w:val="004C5BD7"/>
    <w:rsid w:val="004C6F94"/>
    <w:rsid w:val="004C7601"/>
    <w:rsid w:val="004C77D9"/>
    <w:rsid w:val="004D0C33"/>
    <w:rsid w:val="004D4832"/>
    <w:rsid w:val="004D6BD2"/>
    <w:rsid w:val="004D750F"/>
    <w:rsid w:val="004D7846"/>
    <w:rsid w:val="004E093C"/>
    <w:rsid w:val="004E1665"/>
    <w:rsid w:val="004E1C07"/>
    <w:rsid w:val="004E1CCF"/>
    <w:rsid w:val="004E218E"/>
    <w:rsid w:val="004E23CB"/>
    <w:rsid w:val="004E487A"/>
    <w:rsid w:val="004E4D7D"/>
    <w:rsid w:val="004F03D4"/>
    <w:rsid w:val="004F0A2B"/>
    <w:rsid w:val="004F12D7"/>
    <w:rsid w:val="004F1901"/>
    <w:rsid w:val="004F33BA"/>
    <w:rsid w:val="004F6B67"/>
    <w:rsid w:val="004F7134"/>
    <w:rsid w:val="004F73A2"/>
    <w:rsid w:val="005000EC"/>
    <w:rsid w:val="005009ED"/>
    <w:rsid w:val="00501DC8"/>
    <w:rsid w:val="00502121"/>
    <w:rsid w:val="0050391B"/>
    <w:rsid w:val="00504CA3"/>
    <w:rsid w:val="00504E9C"/>
    <w:rsid w:val="00505094"/>
    <w:rsid w:val="00506B86"/>
    <w:rsid w:val="00507D1B"/>
    <w:rsid w:val="005109C8"/>
    <w:rsid w:val="0051215B"/>
    <w:rsid w:val="005123BD"/>
    <w:rsid w:val="00512BA2"/>
    <w:rsid w:val="0051307F"/>
    <w:rsid w:val="00515CC4"/>
    <w:rsid w:val="00515E70"/>
    <w:rsid w:val="00516090"/>
    <w:rsid w:val="0051627E"/>
    <w:rsid w:val="00516733"/>
    <w:rsid w:val="00517FE3"/>
    <w:rsid w:val="00520260"/>
    <w:rsid w:val="00520ACE"/>
    <w:rsid w:val="00521352"/>
    <w:rsid w:val="005217ED"/>
    <w:rsid w:val="00522F8B"/>
    <w:rsid w:val="00523BE8"/>
    <w:rsid w:val="00523BEE"/>
    <w:rsid w:val="0052403C"/>
    <w:rsid w:val="00525322"/>
    <w:rsid w:val="005258AA"/>
    <w:rsid w:val="00526E34"/>
    <w:rsid w:val="005270E7"/>
    <w:rsid w:val="005301AF"/>
    <w:rsid w:val="00530A47"/>
    <w:rsid w:val="00531639"/>
    <w:rsid w:val="00531B22"/>
    <w:rsid w:val="0053388B"/>
    <w:rsid w:val="00534694"/>
    <w:rsid w:val="005349BC"/>
    <w:rsid w:val="00534C8F"/>
    <w:rsid w:val="0053794E"/>
    <w:rsid w:val="00537A43"/>
    <w:rsid w:val="0054103A"/>
    <w:rsid w:val="005432D5"/>
    <w:rsid w:val="00543861"/>
    <w:rsid w:val="005439A9"/>
    <w:rsid w:val="00544DE6"/>
    <w:rsid w:val="005461BA"/>
    <w:rsid w:val="00546C09"/>
    <w:rsid w:val="005516DA"/>
    <w:rsid w:val="00551F34"/>
    <w:rsid w:val="00551F75"/>
    <w:rsid w:val="005528DE"/>
    <w:rsid w:val="005528F7"/>
    <w:rsid w:val="00553FF4"/>
    <w:rsid w:val="00560E88"/>
    <w:rsid w:val="00562A31"/>
    <w:rsid w:val="0056328D"/>
    <w:rsid w:val="00563A53"/>
    <w:rsid w:val="00564A19"/>
    <w:rsid w:val="00565279"/>
    <w:rsid w:val="00565F4D"/>
    <w:rsid w:val="00565F9F"/>
    <w:rsid w:val="0057188C"/>
    <w:rsid w:val="00572145"/>
    <w:rsid w:val="00572F5E"/>
    <w:rsid w:val="00573750"/>
    <w:rsid w:val="0057376D"/>
    <w:rsid w:val="00573E7A"/>
    <w:rsid w:val="0057417C"/>
    <w:rsid w:val="00575C28"/>
    <w:rsid w:val="0057681F"/>
    <w:rsid w:val="005779C5"/>
    <w:rsid w:val="00577CE2"/>
    <w:rsid w:val="00580339"/>
    <w:rsid w:val="0058325A"/>
    <w:rsid w:val="005847F1"/>
    <w:rsid w:val="00585D37"/>
    <w:rsid w:val="00586B1A"/>
    <w:rsid w:val="005911DD"/>
    <w:rsid w:val="0059129C"/>
    <w:rsid w:val="00592FF8"/>
    <w:rsid w:val="0059392D"/>
    <w:rsid w:val="00593EE4"/>
    <w:rsid w:val="00593FE6"/>
    <w:rsid w:val="0059486B"/>
    <w:rsid w:val="00594956"/>
    <w:rsid w:val="00596777"/>
    <w:rsid w:val="00597178"/>
    <w:rsid w:val="00597CB2"/>
    <w:rsid w:val="005A3356"/>
    <w:rsid w:val="005A3AC3"/>
    <w:rsid w:val="005A4DA9"/>
    <w:rsid w:val="005A5888"/>
    <w:rsid w:val="005A778E"/>
    <w:rsid w:val="005B0733"/>
    <w:rsid w:val="005B2A80"/>
    <w:rsid w:val="005B3DD1"/>
    <w:rsid w:val="005B511A"/>
    <w:rsid w:val="005C0106"/>
    <w:rsid w:val="005C0200"/>
    <w:rsid w:val="005C06FB"/>
    <w:rsid w:val="005C49AB"/>
    <w:rsid w:val="005C5902"/>
    <w:rsid w:val="005C629F"/>
    <w:rsid w:val="005C6653"/>
    <w:rsid w:val="005C6E59"/>
    <w:rsid w:val="005C70C5"/>
    <w:rsid w:val="005C7214"/>
    <w:rsid w:val="005C7631"/>
    <w:rsid w:val="005C79E7"/>
    <w:rsid w:val="005D0DB6"/>
    <w:rsid w:val="005D14E8"/>
    <w:rsid w:val="005D18B7"/>
    <w:rsid w:val="005D1E94"/>
    <w:rsid w:val="005D3FB9"/>
    <w:rsid w:val="005D4450"/>
    <w:rsid w:val="005D52A6"/>
    <w:rsid w:val="005D6959"/>
    <w:rsid w:val="005D7D61"/>
    <w:rsid w:val="005E1A3F"/>
    <w:rsid w:val="005E1D15"/>
    <w:rsid w:val="005E1EB5"/>
    <w:rsid w:val="005E353C"/>
    <w:rsid w:val="005E4AD0"/>
    <w:rsid w:val="005E76DA"/>
    <w:rsid w:val="005F3205"/>
    <w:rsid w:val="005F3488"/>
    <w:rsid w:val="005F3C5A"/>
    <w:rsid w:val="005F3D6B"/>
    <w:rsid w:val="005F4386"/>
    <w:rsid w:val="005F44B1"/>
    <w:rsid w:val="005F462B"/>
    <w:rsid w:val="005F489B"/>
    <w:rsid w:val="005F49DF"/>
    <w:rsid w:val="0060063B"/>
    <w:rsid w:val="006011FD"/>
    <w:rsid w:val="006021CF"/>
    <w:rsid w:val="00602C2A"/>
    <w:rsid w:val="006040D3"/>
    <w:rsid w:val="006049BC"/>
    <w:rsid w:val="00604BD2"/>
    <w:rsid w:val="00605237"/>
    <w:rsid w:val="00605E59"/>
    <w:rsid w:val="00605FBA"/>
    <w:rsid w:val="006060E7"/>
    <w:rsid w:val="006068F1"/>
    <w:rsid w:val="00606F48"/>
    <w:rsid w:val="006072FA"/>
    <w:rsid w:val="0060741D"/>
    <w:rsid w:val="006101DF"/>
    <w:rsid w:val="006118C5"/>
    <w:rsid w:val="00612C77"/>
    <w:rsid w:val="006132D0"/>
    <w:rsid w:val="00613AAF"/>
    <w:rsid w:val="00613CDC"/>
    <w:rsid w:val="00614A8D"/>
    <w:rsid w:val="006152CD"/>
    <w:rsid w:val="0061558A"/>
    <w:rsid w:val="00615650"/>
    <w:rsid w:val="00617BEA"/>
    <w:rsid w:val="00620FA0"/>
    <w:rsid w:val="00621743"/>
    <w:rsid w:val="00622B8B"/>
    <w:rsid w:val="00623426"/>
    <w:rsid w:val="00623514"/>
    <w:rsid w:val="0062418B"/>
    <w:rsid w:val="006254F2"/>
    <w:rsid w:val="0062657E"/>
    <w:rsid w:val="00627B6F"/>
    <w:rsid w:val="00630354"/>
    <w:rsid w:val="00630755"/>
    <w:rsid w:val="00630DF2"/>
    <w:rsid w:val="00631207"/>
    <w:rsid w:val="006312D2"/>
    <w:rsid w:val="006331FE"/>
    <w:rsid w:val="006341F0"/>
    <w:rsid w:val="00637B1C"/>
    <w:rsid w:val="00637E59"/>
    <w:rsid w:val="0064003A"/>
    <w:rsid w:val="006402F6"/>
    <w:rsid w:val="0064175C"/>
    <w:rsid w:val="006423AE"/>
    <w:rsid w:val="00644304"/>
    <w:rsid w:val="006458D7"/>
    <w:rsid w:val="0065044B"/>
    <w:rsid w:val="00650D31"/>
    <w:rsid w:val="00650FE0"/>
    <w:rsid w:val="00652135"/>
    <w:rsid w:val="006535C4"/>
    <w:rsid w:val="00653DB8"/>
    <w:rsid w:val="00653EE1"/>
    <w:rsid w:val="006545FE"/>
    <w:rsid w:val="00654F8F"/>
    <w:rsid w:val="00655FE2"/>
    <w:rsid w:val="006565FE"/>
    <w:rsid w:val="006645A7"/>
    <w:rsid w:val="00665B04"/>
    <w:rsid w:val="00665B99"/>
    <w:rsid w:val="00665CA0"/>
    <w:rsid w:val="00665F26"/>
    <w:rsid w:val="00667C73"/>
    <w:rsid w:val="00667D50"/>
    <w:rsid w:val="00667E77"/>
    <w:rsid w:val="00670656"/>
    <w:rsid w:val="0067133D"/>
    <w:rsid w:val="00672536"/>
    <w:rsid w:val="006733E9"/>
    <w:rsid w:val="00674285"/>
    <w:rsid w:val="00674FB3"/>
    <w:rsid w:val="0067525F"/>
    <w:rsid w:val="0067625C"/>
    <w:rsid w:val="00680BD5"/>
    <w:rsid w:val="006811E4"/>
    <w:rsid w:val="0068174B"/>
    <w:rsid w:val="006827A3"/>
    <w:rsid w:val="00682973"/>
    <w:rsid w:val="006833E8"/>
    <w:rsid w:val="00684983"/>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E7"/>
    <w:rsid w:val="006963E7"/>
    <w:rsid w:val="00696E1D"/>
    <w:rsid w:val="0069790D"/>
    <w:rsid w:val="00697E5A"/>
    <w:rsid w:val="006A0881"/>
    <w:rsid w:val="006A0DDE"/>
    <w:rsid w:val="006A1841"/>
    <w:rsid w:val="006A622A"/>
    <w:rsid w:val="006A75FE"/>
    <w:rsid w:val="006B05BE"/>
    <w:rsid w:val="006B19C8"/>
    <w:rsid w:val="006B1A85"/>
    <w:rsid w:val="006B2AD5"/>
    <w:rsid w:val="006B311B"/>
    <w:rsid w:val="006B398A"/>
    <w:rsid w:val="006B5149"/>
    <w:rsid w:val="006B5191"/>
    <w:rsid w:val="006B526F"/>
    <w:rsid w:val="006B56E3"/>
    <w:rsid w:val="006B60F3"/>
    <w:rsid w:val="006B6CC6"/>
    <w:rsid w:val="006C3179"/>
    <w:rsid w:val="006C3199"/>
    <w:rsid w:val="006C3437"/>
    <w:rsid w:val="006C35E8"/>
    <w:rsid w:val="006C40FB"/>
    <w:rsid w:val="006D12A8"/>
    <w:rsid w:val="006D155C"/>
    <w:rsid w:val="006D1D62"/>
    <w:rsid w:val="006D2993"/>
    <w:rsid w:val="006D2EBE"/>
    <w:rsid w:val="006D4B52"/>
    <w:rsid w:val="006D52E6"/>
    <w:rsid w:val="006D6366"/>
    <w:rsid w:val="006D6A76"/>
    <w:rsid w:val="006D7D53"/>
    <w:rsid w:val="006D7E30"/>
    <w:rsid w:val="006E2D16"/>
    <w:rsid w:val="006E3B53"/>
    <w:rsid w:val="006E3C3F"/>
    <w:rsid w:val="006E42C3"/>
    <w:rsid w:val="006E42EA"/>
    <w:rsid w:val="006E4995"/>
    <w:rsid w:val="006E54AF"/>
    <w:rsid w:val="006E5E33"/>
    <w:rsid w:val="006E64EF"/>
    <w:rsid w:val="006E6911"/>
    <w:rsid w:val="006E7654"/>
    <w:rsid w:val="006F0F97"/>
    <w:rsid w:val="006F38B0"/>
    <w:rsid w:val="006F403D"/>
    <w:rsid w:val="006F4171"/>
    <w:rsid w:val="006F52B5"/>
    <w:rsid w:val="006F624A"/>
    <w:rsid w:val="006F64F4"/>
    <w:rsid w:val="006F70E8"/>
    <w:rsid w:val="007002EF"/>
    <w:rsid w:val="0070145D"/>
    <w:rsid w:val="007014F7"/>
    <w:rsid w:val="007025D9"/>
    <w:rsid w:val="00703472"/>
    <w:rsid w:val="007046E8"/>
    <w:rsid w:val="007048BF"/>
    <w:rsid w:val="00705543"/>
    <w:rsid w:val="007059A3"/>
    <w:rsid w:val="0070752C"/>
    <w:rsid w:val="0070755F"/>
    <w:rsid w:val="00710347"/>
    <w:rsid w:val="0071064B"/>
    <w:rsid w:val="007128B8"/>
    <w:rsid w:val="00713091"/>
    <w:rsid w:val="00713931"/>
    <w:rsid w:val="00713AA8"/>
    <w:rsid w:val="00714471"/>
    <w:rsid w:val="00714C7D"/>
    <w:rsid w:val="007156AC"/>
    <w:rsid w:val="00715A13"/>
    <w:rsid w:val="00716BD9"/>
    <w:rsid w:val="00717514"/>
    <w:rsid w:val="00720033"/>
    <w:rsid w:val="007205EE"/>
    <w:rsid w:val="00721F7F"/>
    <w:rsid w:val="007230EB"/>
    <w:rsid w:val="00723E13"/>
    <w:rsid w:val="007249B3"/>
    <w:rsid w:val="00725831"/>
    <w:rsid w:val="00725B7F"/>
    <w:rsid w:val="00727B3F"/>
    <w:rsid w:val="00727F3F"/>
    <w:rsid w:val="007317B3"/>
    <w:rsid w:val="0073209D"/>
    <w:rsid w:val="0073305F"/>
    <w:rsid w:val="00734A45"/>
    <w:rsid w:val="00734C6B"/>
    <w:rsid w:val="00735E06"/>
    <w:rsid w:val="00736F93"/>
    <w:rsid w:val="00736FBD"/>
    <w:rsid w:val="00737183"/>
    <w:rsid w:val="007412BF"/>
    <w:rsid w:val="007436B4"/>
    <w:rsid w:val="00743A1F"/>
    <w:rsid w:val="00744951"/>
    <w:rsid w:val="00746673"/>
    <w:rsid w:val="007467D7"/>
    <w:rsid w:val="007468FD"/>
    <w:rsid w:val="0074748D"/>
    <w:rsid w:val="00750660"/>
    <w:rsid w:val="00751A83"/>
    <w:rsid w:val="00751FAC"/>
    <w:rsid w:val="00753007"/>
    <w:rsid w:val="00755035"/>
    <w:rsid w:val="007560EF"/>
    <w:rsid w:val="0075619A"/>
    <w:rsid w:val="00756ED7"/>
    <w:rsid w:val="00760AEE"/>
    <w:rsid w:val="00762035"/>
    <w:rsid w:val="007624BE"/>
    <w:rsid w:val="00764359"/>
    <w:rsid w:val="0076478B"/>
    <w:rsid w:val="007647F2"/>
    <w:rsid w:val="007651AD"/>
    <w:rsid w:val="007653C8"/>
    <w:rsid w:val="007653CB"/>
    <w:rsid w:val="007654AF"/>
    <w:rsid w:val="007657A0"/>
    <w:rsid w:val="00765DD4"/>
    <w:rsid w:val="0076641B"/>
    <w:rsid w:val="00766DA5"/>
    <w:rsid w:val="0077002A"/>
    <w:rsid w:val="00770AD2"/>
    <w:rsid w:val="00770D41"/>
    <w:rsid w:val="00774CA8"/>
    <w:rsid w:val="00774EB3"/>
    <w:rsid w:val="00775424"/>
    <w:rsid w:val="0077778C"/>
    <w:rsid w:val="00777E47"/>
    <w:rsid w:val="00780EFF"/>
    <w:rsid w:val="00781C89"/>
    <w:rsid w:val="0078330D"/>
    <w:rsid w:val="00784396"/>
    <w:rsid w:val="007869F1"/>
    <w:rsid w:val="007902E4"/>
    <w:rsid w:val="00790523"/>
    <w:rsid w:val="00790A26"/>
    <w:rsid w:val="00790F2E"/>
    <w:rsid w:val="00791039"/>
    <w:rsid w:val="0079194A"/>
    <w:rsid w:val="007933FF"/>
    <w:rsid w:val="00794355"/>
    <w:rsid w:val="00795379"/>
    <w:rsid w:val="00795658"/>
    <w:rsid w:val="007966C5"/>
    <w:rsid w:val="00797F16"/>
    <w:rsid w:val="007A034D"/>
    <w:rsid w:val="007A070A"/>
    <w:rsid w:val="007A1A3F"/>
    <w:rsid w:val="007A1CDC"/>
    <w:rsid w:val="007A1DF5"/>
    <w:rsid w:val="007A24F1"/>
    <w:rsid w:val="007A3406"/>
    <w:rsid w:val="007A39D8"/>
    <w:rsid w:val="007A5165"/>
    <w:rsid w:val="007A521F"/>
    <w:rsid w:val="007A5D7D"/>
    <w:rsid w:val="007A6762"/>
    <w:rsid w:val="007A6B51"/>
    <w:rsid w:val="007A6D51"/>
    <w:rsid w:val="007A6DD1"/>
    <w:rsid w:val="007A7A25"/>
    <w:rsid w:val="007A7E80"/>
    <w:rsid w:val="007B27D3"/>
    <w:rsid w:val="007B2D71"/>
    <w:rsid w:val="007B2E39"/>
    <w:rsid w:val="007B4CD9"/>
    <w:rsid w:val="007B6761"/>
    <w:rsid w:val="007B6A2F"/>
    <w:rsid w:val="007B6F68"/>
    <w:rsid w:val="007C1432"/>
    <w:rsid w:val="007C16CB"/>
    <w:rsid w:val="007C2018"/>
    <w:rsid w:val="007C20FE"/>
    <w:rsid w:val="007C2980"/>
    <w:rsid w:val="007C2FA0"/>
    <w:rsid w:val="007C3526"/>
    <w:rsid w:val="007C3959"/>
    <w:rsid w:val="007C3F58"/>
    <w:rsid w:val="007C4E52"/>
    <w:rsid w:val="007C5044"/>
    <w:rsid w:val="007C5FFB"/>
    <w:rsid w:val="007C6D33"/>
    <w:rsid w:val="007C707C"/>
    <w:rsid w:val="007C7092"/>
    <w:rsid w:val="007D0B01"/>
    <w:rsid w:val="007D1DAC"/>
    <w:rsid w:val="007D3A14"/>
    <w:rsid w:val="007D4073"/>
    <w:rsid w:val="007D4D35"/>
    <w:rsid w:val="007D6F0C"/>
    <w:rsid w:val="007D717A"/>
    <w:rsid w:val="007D7D71"/>
    <w:rsid w:val="007E1414"/>
    <w:rsid w:val="007E1B30"/>
    <w:rsid w:val="007E1B65"/>
    <w:rsid w:val="007E369B"/>
    <w:rsid w:val="007E3835"/>
    <w:rsid w:val="007E39A0"/>
    <w:rsid w:val="007E3B0C"/>
    <w:rsid w:val="007E4E06"/>
    <w:rsid w:val="007E583C"/>
    <w:rsid w:val="007E59D5"/>
    <w:rsid w:val="007E697D"/>
    <w:rsid w:val="007F09D3"/>
    <w:rsid w:val="007F246E"/>
    <w:rsid w:val="007F24DA"/>
    <w:rsid w:val="007F31FF"/>
    <w:rsid w:val="007F3750"/>
    <w:rsid w:val="007F4157"/>
    <w:rsid w:val="007F5216"/>
    <w:rsid w:val="007F65FC"/>
    <w:rsid w:val="007F66F7"/>
    <w:rsid w:val="0080084E"/>
    <w:rsid w:val="00800B87"/>
    <w:rsid w:val="008016D6"/>
    <w:rsid w:val="00801920"/>
    <w:rsid w:val="00801BDF"/>
    <w:rsid w:val="00802412"/>
    <w:rsid w:val="00802E9E"/>
    <w:rsid w:val="008034F3"/>
    <w:rsid w:val="0080387D"/>
    <w:rsid w:val="008058B9"/>
    <w:rsid w:val="00806062"/>
    <w:rsid w:val="00811857"/>
    <w:rsid w:val="00812049"/>
    <w:rsid w:val="00813499"/>
    <w:rsid w:val="00813723"/>
    <w:rsid w:val="008149E0"/>
    <w:rsid w:val="00814B01"/>
    <w:rsid w:val="00816F8D"/>
    <w:rsid w:val="008172F1"/>
    <w:rsid w:val="00817301"/>
    <w:rsid w:val="00817DB7"/>
    <w:rsid w:val="00817F24"/>
    <w:rsid w:val="008218BE"/>
    <w:rsid w:val="00822454"/>
    <w:rsid w:val="00822A95"/>
    <w:rsid w:val="00823192"/>
    <w:rsid w:val="008238FA"/>
    <w:rsid w:val="00825119"/>
    <w:rsid w:val="0082519A"/>
    <w:rsid w:val="008271A2"/>
    <w:rsid w:val="00827C9F"/>
    <w:rsid w:val="0083099E"/>
    <w:rsid w:val="008310DB"/>
    <w:rsid w:val="00831A64"/>
    <w:rsid w:val="00832A9B"/>
    <w:rsid w:val="008343AC"/>
    <w:rsid w:val="008344C4"/>
    <w:rsid w:val="008346EF"/>
    <w:rsid w:val="0083473D"/>
    <w:rsid w:val="0083650C"/>
    <w:rsid w:val="00836BAC"/>
    <w:rsid w:val="00837A1E"/>
    <w:rsid w:val="008401E6"/>
    <w:rsid w:val="0084052B"/>
    <w:rsid w:val="00840F39"/>
    <w:rsid w:val="00840F70"/>
    <w:rsid w:val="00841E89"/>
    <w:rsid w:val="00842427"/>
    <w:rsid w:val="008424D9"/>
    <w:rsid w:val="0084323E"/>
    <w:rsid w:val="00843343"/>
    <w:rsid w:val="00844DA6"/>
    <w:rsid w:val="00845608"/>
    <w:rsid w:val="00846450"/>
    <w:rsid w:val="008468D6"/>
    <w:rsid w:val="008469A8"/>
    <w:rsid w:val="00846F4B"/>
    <w:rsid w:val="0085096A"/>
    <w:rsid w:val="00852121"/>
    <w:rsid w:val="008521CE"/>
    <w:rsid w:val="00854954"/>
    <w:rsid w:val="0085528E"/>
    <w:rsid w:val="00856951"/>
    <w:rsid w:val="008569BE"/>
    <w:rsid w:val="0085752B"/>
    <w:rsid w:val="0086033F"/>
    <w:rsid w:val="00860366"/>
    <w:rsid w:val="00860D6D"/>
    <w:rsid w:val="00861D96"/>
    <w:rsid w:val="00861EC8"/>
    <w:rsid w:val="00865D74"/>
    <w:rsid w:val="00866B57"/>
    <w:rsid w:val="00870B0E"/>
    <w:rsid w:val="008734E6"/>
    <w:rsid w:val="00873D54"/>
    <w:rsid w:val="008741BE"/>
    <w:rsid w:val="0087425E"/>
    <w:rsid w:val="00874527"/>
    <w:rsid w:val="00876DD7"/>
    <w:rsid w:val="00876DF3"/>
    <w:rsid w:val="008808A7"/>
    <w:rsid w:val="00880DBE"/>
    <w:rsid w:val="008817A8"/>
    <w:rsid w:val="00881EA0"/>
    <w:rsid w:val="008838ED"/>
    <w:rsid w:val="0088471C"/>
    <w:rsid w:val="00885930"/>
    <w:rsid w:val="008877EE"/>
    <w:rsid w:val="008879B6"/>
    <w:rsid w:val="00887B45"/>
    <w:rsid w:val="008928FE"/>
    <w:rsid w:val="008930FF"/>
    <w:rsid w:val="00895D07"/>
    <w:rsid w:val="00896051"/>
    <w:rsid w:val="00897A02"/>
    <w:rsid w:val="008A0E98"/>
    <w:rsid w:val="008A10AF"/>
    <w:rsid w:val="008A14F5"/>
    <w:rsid w:val="008A313B"/>
    <w:rsid w:val="008A3205"/>
    <w:rsid w:val="008A3B7F"/>
    <w:rsid w:val="008A4AC5"/>
    <w:rsid w:val="008A4B85"/>
    <w:rsid w:val="008A5CD4"/>
    <w:rsid w:val="008A623D"/>
    <w:rsid w:val="008A6E70"/>
    <w:rsid w:val="008A75F0"/>
    <w:rsid w:val="008A7B7F"/>
    <w:rsid w:val="008B1396"/>
    <w:rsid w:val="008B1FBF"/>
    <w:rsid w:val="008B2853"/>
    <w:rsid w:val="008B320E"/>
    <w:rsid w:val="008B42AF"/>
    <w:rsid w:val="008B4A35"/>
    <w:rsid w:val="008B6507"/>
    <w:rsid w:val="008B6D24"/>
    <w:rsid w:val="008B6D91"/>
    <w:rsid w:val="008B6EC1"/>
    <w:rsid w:val="008C117F"/>
    <w:rsid w:val="008C1CA2"/>
    <w:rsid w:val="008C2828"/>
    <w:rsid w:val="008C4362"/>
    <w:rsid w:val="008C501B"/>
    <w:rsid w:val="008C557D"/>
    <w:rsid w:val="008C59F8"/>
    <w:rsid w:val="008C5B8D"/>
    <w:rsid w:val="008C67CF"/>
    <w:rsid w:val="008C7CD0"/>
    <w:rsid w:val="008D14D0"/>
    <w:rsid w:val="008D27B1"/>
    <w:rsid w:val="008D29B1"/>
    <w:rsid w:val="008D3201"/>
    <w:rsid w:val="008D35C3"/>
    <w:rsid w:val="008D3AA1"/>
    <w:rsid w:val="008D5AAC"/>
    <w:rsid w:val="008D664A"/>
    <w:rsid w:val="008D7CC8"/>
    <w:rsid w:val="008D7D0D"/>
    <w:rsid w:val="008E143A"/>
    <w:rsid w:val="008E16D1"/>
    <w:rsid w:val="008E254E"/>
    <w:rsid w:val="008E3554"/>
    <w:rsid w:val="008E409C"/>
    <w:rsid w:val="008E4535"/>
    <w:rsid w:val="008E513B"/>
    <w:rsid w:val="008E5E25"/>
    <w:rsid w:val="008E5FAA"/>
    <w:rsid w:val="008E746C"/>
    <w:rsid w:val="008E74E5"/>
    <w:rsid w:val="008F0A49"/>
    <w:rsid w:val="008F0BB6"/>
    <w:rsid w:val="008F1070"/>
    <w:rsid w:val="008F1290"/>
    <w:rsid w:val="008F1B26"/>
    <w:rsid w:val="008F1D17"/>
    <w:rsid w:val="008F1F68"/>
    <w:rsid w:val="008F2A13"/>
    <w:rsid w:val="008F2D68"/>
    <w:rsid w:val="008F365F"/>
    <w:rsid w:val="008F386D"/>
    <w:rsid w:val="008F415D"/>
    <w:rsid w:val="008F5373"/>
    <w:rsid w:val="008F6B6B"/>
    <w:rsid w:val="00902013"/>
    <w:rsid w:val="0090205E"/>
    <w:rsid w:val="00902E94"/>
    <w:rsid w:val="00903BA8"/>
    <w:rsid w:val="00904886"/>
    <w:rsid w:val="00904E0A"/>
    <w:rsid w:val="009052F1"/>
    <w:rsid w:val="0090659C"/>
    <w:rsid w:val="0090673D"/>
    <w:rsid w:val="00910D26"/>
    <w:rsid w:val="00911B11"/>
    <w:rsid w:val="00911CDA"/>
    <w:rsid w:val="0091530B"/>
    <w:rsid w:val="00915992"/>
    <w:rsid w:val="0091698B"/>
    <w:rsid w:val="00916FAA"/>
    <w:rsid w:val="00917213"/>
    <w:rsid w:val="009175A4"/>
    <w:rsid w:val="00920409"/>
    <w:rsid w:val="00921F04"/>
    <w:rsid w:val="0092474E"/>
    <w:rsid w:val="00925270"/>
    <w:rsid w:val="00925542"/>
    <w:rsid w:val="00925AF1"/>
    <w:rsid w:val="009266FC"/>
    <w:rsid w:val="00926982"/>
    <w:rsid w:val="00927F22"/>
    <w:rsid w:val="00930B21"/>
    <w:rsid w:val="0093372E"/>
    <w:rsid w:val="00933E16"/>
    <w:rsid w:val="00934079"/>
    <w:rsid w:val="009355EB"/>
    <w:rsid w:val="00936BC2"/>
    <w:rsid w:val="00940464"/>
    <w:rsid w:val="009411D5"/>
    <w:rsid w:val="00941BAE"/>
    <w:rsid w:val="00944FDE"/>
    <w:rsid w:val="009453DD"/>
    <w:rsid w:val="0094648D"/>
    <w:rsid w:val="0094675E"/>
    <w:rsid w:val="00947C04"/>
    <w:rsid w:val="00950A61"/>
    <w:rsid w:val="009555D7"/>
    <w:rsid w:val="00955CC3"/>
    <w:rsid w:val="00957B80"/>
    <w:rsid w:val="00961F21"/>
    <w:rsid w:val="009621A4"/>
    <w:rsid w:val="0096288C"/>
    <w:rsid w:val="0096494A"/>
    <w:rsid w:val="0096501D"/>
    <w:rsid w:val="009653F4"/>
    <w:rsid w:val="0096550A"/>
    <w:rsid w:val="0096558B"/>
    <w:rsid w:val="009668EA"/>
    <w:rsid w:val="009679BE"/>
    <w:rsid w:val="00973295"/>
    <w:rsid w:val="00974C70"/>
    <w:rsid w:val="00975475"/>
    <w:rsid w:val="0097598E"/>
    <w:rsid w:val="00975CF6"/>
    <w:rsid w:val="00975E6E"/>
    <w:rsid w:val="00975FE3"/>
    <w:rsid w:val="009812F6"/>
    <w:rsid w:val="00981389"/>
    <w:rsid w:val="009813AD"/>
    <w:rsid w:val="00982714"/>
    <w:rsid w:val="0098301F"/>
    <w:rsid w:val="00985D97"/>
    <w:rsid w:val="00985EF6"/>
    <w:rsid w:val="00986030"/>
    <w:rsid w:val="00987B2C"/>
    <w:rsid w:val="009903A0"/>
    <w:rsid w:val="00991A03"/>
    <w:rsid w:val="00991E8D"/>
    <w:rsid w:val="00992264"/>
    <w:rsid w:val="00992B98"/>
    <w:rsid w:val="00992DD0"/>
    <w:rsid w:val="009966EB"/>
    <w:rsid w:val="00996BA9"/>
    <w:rsid w:val="009A1C5E"/>
    <w:rsid w:val="009A1E56"/>
    <w:rsid w:val="009A5411"/>
    <w:rsid w:val="009A5458"/>
    <w:rsid w:val="009A591B"/>
    <w:rsid w:val="009A6A1F"/>
    <w:rsid w:val="009A729F"/>
    <w:rsid w:val="009A7917"/>
    <w:rsid w:val="009A7D15"/>
    <w:rsid w:val="009B33FC"/>
    <w:rsid w:val="009B39C3"/>
    <w:rsid w:val="009B532D"/>
    <w:rsid w:val="009B57FD"/>
    <w:rsid w:val="009B71C5"/>
    <w:rsid w:val="009C0F1E"/>
    <w:rsid w:val="009C295A"/>
    <w:rsid w:val="009C2F90"/>
    <w:rsid w:val="009C385B"/>
    <w:rsid w:val="009C47FA"/>
    <w:rsid w:val="009C4E44"/>
    <w:rsid w:val="009C5F28"/>
    <w:rsid w:val="009C6085"/>
    <w:rsid w:val="009C66F6"/>
    <w:rsid w:val="009C679B"/>
    <w:rsid w:val="009C6B64"/>
    <w:rsid w:val="009C7ACF"/>
    <w:rsid w:val="009D0036"/>
    <w:rsid w:val="009D052B"/>
    <w:rsid w:val="009D192A"/>
    <w:rsid w:val="009D1F42"/>
    <w:rsid w:val="009D22CA"/>
    <w:rsid w:val="009D2662"/>
    <w:rsid w:val="009D2D06"/>
    <w:rsid w:val="009D345F"/>
    <w:rsid w:val="009D347E"/>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5687"/>
    <w:rsid w:val="009F69BF"/>
    <w:rsid w:val="009F74C6"/>
    <w:rsid w:val="009F7517"/>
    <w:rsid w:val="00A019F5"/>
    <w:rsid w:val="00A052F7"/>
    <w:rsid w:val="00A0566F"/>
    <w:rsid w:val="00A101BC"/>
    <w:rsid w:val="00A10C80"/>
    <w:rsid w:val="00A10ECD"/>
    <w:rsid w:val="00A10F71"/>
    <w:rsid w:val="00A11DEC"/>
    <w:rsid w:val="00A11E6F"/>
    <w:rsid w:val="00A12715"/>
    <w:rsid w:val="00A139C4"/>
    <w:rsid w:val="00A14414"/>
    <w:rsid w:val="00A14A4C"/>
    <w:rsid w:val="00A14F7A"/>
    <w:rsid w:val="00A1613D"/>
    <w:rsid w:val="00A167EC"/>
    <w:rsid w:val="00A16A7B"/>
    <w:rsid w:val="00A16FEA"/>
    <w:rsid w:val="00A17E5E"/>
    <w:rsid w:val="00A20311"/>
    <w:rsid w:val="00A20A0F"/>
    <w:rsid w:val="00A213BA"/>
    <w:rsid w:val="00A21992"/>
    <w:rsid w:val="00A24221"/>
    <w:rsid w:val="00A24FC9"/>
    <w:rsid w:val="00A262FB"/>
    <w:rsid w:val="00A275AA"/>
    <w:rsid w:val="00A27714"/>
    <w:rsid w:val="00A318E9"/>
    <w:rsid w:val="00A32949"/>
    <w:rsid w:val="00A33734"/>
    <w:rsid w:val="00A339A6"/>
    <w:rsid w:val="00A33AAD"/>
    <w:rsid w:val="00A36C3D"/>
    <w:rsid w:val="00A3787F"/>
    <w:rsid w:val="00A37F86"/>
    <w:rsid w:val="00A41462"/>
    <w:rsid w:val="00A42942"/>
    <w:rsid w:val="00A436BE"/>
    <w:rsid w:val="00A43E67"/>
    <w:rsid w:val="00A4448F"/>
    <w:rsid w:val="00A4493F"/>
    <w:rsid w:val="00A44A78"/>
    <w:rsid w:val="00A44AB2"/>
    <w:rsid w:val="00A45867"/>
    <w:rsid w:val="00A46AF2"/>
    <w:rsid w:val="00A52666"/>
    <w:rsid w:val="00A53205"/>
    <w:rsid w:val="00A5492E"/>
    <w:rsid w:val="00A556B1"/>
    <w:rsid w:val="00A578CE"/>
    <w:rsid w:val="00A579A9"/>
    <w:rsid w:val="00A601CD"/>
    <w:rsid w:val="00A602C3"/>
    <w:rsid w:val="00A61A85"/>
    <w:rsid w:val="00A6377A"/>
    <w:rsid w:val="00A63880"/>
    <w:rsid w:val="00A65782"/>
    <w:rsid w:val="00A65B67"/>
    <w:rsid w:val="00A70DCE"/>
    <w:rsid w:val="00A71F80"/>
    <w:rsid w:val="00A72154"/>
    <w:rsid w:val="00A73B2E"/>
    <w:rsid w:val="00A73CC2"/>
    <w:rsid w:val="00A74D1B"/>
    <w:rsid w:val="00A75E7F"/>
    <w:rsid w:val="00A76B50"/>
    <w:rsid w:val="00A76DB8"/>
    <w:rsid w:val="00A805B1"/>
    <w:rsid w:val="00A80604"/>
    <w:rsid w:val="00A80672"/>
    <w:rsid w:val="00A80DED"/>
    <w:rsid w:val="00A82940"/>
    <w:rsid w:val="00A8468E"/>
    <w:rsid w:val="00A861EB"/>
    <w:rsid w:val="00A902F9"/>
    <w:rsid w:val="00A90CFF"/>
    <w:rsid w:val="00A91044"/>
    <w:rsid w:val="00A91687"/>
    <w:rsid w:val="00A93180"/>
    <w:rsid w:val="00A942C1"/>
    <w:rsid w:val="00A948B1"/>
    <w:rsid w:val="00A97091"/>
    <w:rsid w:val="00A97FE5"/>
    <w:rsid w:val="00AA0218"/>
    <w:rsid w:val="00AA04C5"/>
    <w:rsid w:val="00AA0512"/>
    <w:rsid w:val="00AA0A67"/>
    <w:rsid w:val="00AA2432"/>
    <w:rsid w:val="00AA32A6"/>
    <w:rsid w:val="00AA33D8"/>
    <w:rsid w:val="00AA3912"/>
    <w:rsid w:val="00AA4A71"/>
    <w:rsid w:val="00AA5AB4"/>
    <w:rsid w:val="00AA601A"/>
    <w:rsid w:val="00AA6CBE"/>
    <w:rsid w:val="00AA6D43"/>
    <w:rsid w:val="00AA7E63"/>
    <w:rsid w:val="00AB0745"/>
    <w:rsid w:val="00AB0F5D"/>
    <w:rsid w:val="00AB3A2F"/>
    <w:rsid w:val="00AB4173"/>
    <w:rsid w:val="00AB465F"/>
    <w:rsid w:val="00AB4D6E"/>
    <w:rsid w:val="00AB5B63"/>
    <w:rsid w:val="00AB6FCE"/>
    <w:rsid w:val="00AB7C6D"/>
    <w:rsid w:val="00AC058E"/>
    <w:rsid w:val="00AC1D10"/>
    <w:rsid w:val="00AC3D8B"/>
    <w:rsid w:val="00AC3DB7"/>
    <w:rsid w:val="00AC4112"/>
    <w:rsid w:val="00AC4D76"/>
    <w:rsid w:val="00AC6BE6"/>
    <w:rsid w:val="00AC6DDD"/>
    <w:rsid w:val="00AC72F1"/>
    <w:rsid w:val="00AD1794"/>
    <w:rsid w:val="00AD2ED0"/>
    <w:rsid w:val="00AD2F3D"/>
    <w:rsid w:val="00AD3C26"/>
    <w:rsid w:val="00AD582E"/>
    <w:rsid w:val="00AD5A8F"/>
    <w:rsid w:val="00AD5F37"/>
    <w:rsid w:val="00AD5FF8"/>
    <w:rsid w:val="00AD6F91"/>
    <w:rsid w:val="00AD7206"/>
    <w:rsid w:val="00AD74EA"/>
    <w:rsid w:val="00AD7F3D"/>
    <w:rsid w:val="00AE0EF6"/>
    <w:rsid w:val="00AE12BA"/>
    <w:rsid w:val="00AE1511"/>
    <w:rsid w:val="00AE2733"/>
    <w:rsid w:val="00AE4494"/>
    <w:rsid w:val="00AE4EAC"/>
    <w:rsid w:val="00AE6142"/>
    <w:rsid w:val="00AE73BA"/>
    <w:rsid w:val="00AE7D95"/>
    <w:rsid w:val="00AE7E8C"/>
    <w:rsid w:val="00AF3C12"/>
    <w:rsid w:val="00AF5C1D"/>
    <w:rsid w:val="00AF678E"/>
    <w:rsid w:val="00B0111D"/>
    <w:rsid w:val="00B02D11"/>
    <w:rsid w:val="00B037BD"/>
    <w:rsid w:val="00B03FC8"/>
    <w:rsid w:val="00B04FF1"/>
    <w:rsid w:val="00B07510"/>
    <w:rsid w:val="00B07A96"/>
    <w:rsid w:val="00B103CD"/>
    <w:rsid w:val="00B1070B"/>
    <w:rsid w:val="00B11908"/>
    <w:rsid w:val="00B1223D"/>
    <w:rsid w:val="00B13D1C"/>
    <w:rsid w:val="00B143E4"/>
    <w:rsid w:val="00B1447D"/>
    <w:rsid w:val="00B14592"/>
    <w:rsid w:val="00B15726"/>
    <w:rsid w:val="00B16831"/>
    <w:rsid w:val="00B16F1D"/>
    <w:rsid w:val="00B1730F"/>
    <w:rsid w:val="00B17A96"/>
    <w:rsid w:val="00B17AEA"/>
    <w:rsid w:val="00B17DD1"/>
    <w:rsid w:val="00B22322"/>
    <w:rsid w:val="00B22D17"/>
    <w:rsid w:val="00B2361F"/>
    <w:rsid w:val="00B23AB7"/>
    <w:rsid w:val="00B23B72"/>
    <w:rsid w:val="00B23E4B"/>
    <w:rsid w:val="00B262D5"/>
    <w:rsid w:val="00B27873"/>
    <w:rsid w:val="00B30734"/>
    <w:rsid w:val="00B30CF4"/>
    <w:rsid w:val="00B31414"/>
    <w:rsid w:val="00B324CC"/>
    <w:rsid w:val="00B336C7"/>
    <w:rsid w:val="00B345CA"/>
    <w:rsid w:val="00B3789A"/>
    <w:rsid w:val="00B400D0"/>
    <w:rsid w:val="00B40B9F"/>
    <w:rsid w:val="00B41538"/>
    <w:rsid w:val="00B415EB"/>
    <w:rsid w:val="00B42633"/>
    <w:rsid w:val="00B42A07"/>
    <w:rsid w:val="00B43CC8"/>
    <w:rsid w:val="00B447C9"/>
    <w:rsid w:val="00B44E6A"/>
    <w:rsid w:val="00B45073"/>
    <w:rsid w:val="00B45765"/>
    <w:rsid w:val="00B45A62"/>
    <w:rsid w:val="00B45C6A"/>
    <w:rsid w:val="00B469DD"/>
    <w:rsid w:val="00B5198B"/>
    <w:rsid w:val="00B52C33"/>
    <w:rsid w:val="00B537F1"/>
    <w:rsid w:val="00B53847"/>
    <w:rsid w:val="00B53C11"/>
    <w:rsid w:val="00B53CE2"/>
    <w:rsid w:val="00B54BF3"/>
    <w:rsid w:val="00B54D8B"/>
    <w:rsid w:val="00B5626F"/>
    <w:rsid w:val="00B567C9"/>
    <w:rsid w:val="00B56CA8"/>
    <w:rsid w:val="00B6092F"/>
    <w:rsid w:val="00B62267"/>
    <w:rsid w:val="00B63944"/>
    <w:rsid w:val="00B647B5"/>
    <w:rsid w:val="00B65169"/>
    <w:rsid w:val="00B655AC"/>
    <w:rsid w:val="00B67F32"/>
    <w:rsid w:val="00B703D2"/>
    <w:rsid w:val="00B70752"/>
    <w:rsid w:val="00B7110F"/>
    <w:rsid w:val="00B75030"/>
    <w:rsid w:val="00B75CCC"/>
    <w:rsid w:val="00B761CF"/>
    <w:rsid w:val="00B76928"/>
    <w:rsid w:val="00B7753D"/>
    <w:rsid w:val="00B77942"/>
    <w:rsid w:val="00B8036B"/>
    <w:rsid w:val="00B80AF4"/>
    <w:rsid w:val="00B80E07"/>
    <w:rsid w:val="00B81597"/>
    <w:rsid w:val="00B8199E"/>
    <w:rsid w:val="00B81A45"/>
    <w:rsid w:val="00B83900"/>
    <w:rsid w:val="00B865F3"/>
    <w:rsid w:val="00B86CE3"/>
    <w:rsid w:val="00B86F9C"/>
    <w:rsid w:val="00B879A3"/>
    <w:rsid w:val="00B87F42"/>
    <w:rsid w:val="00B90AE7"/>
    <w:rsid w:val="00B91F6E"/>
    <w:rsid w:val="00B92228"/>
    <w:rsid w:val="00B93082"/>
    <w:rsid w:val="00B93BDD"/>
    <w:rsid w:val="00B93F4A"/>
    <w:rsid w:val="00B9581D"/>
    <w:rsid w:val="00B95C3F"/>
    <w:rsid w:val="00B96B10"/>
    <w:rsid w:val="00B97AEC"/>
    <w:rsid w:val="00B97E27"/>
    <w:rsid w:val="00BA1B07"/>
    <w:rsid w:val="00BA22E6"/>
    <w:rsid w:val="00BA3248"/>
    <w:rsid w:val="00BA423B"/>
    <w:rsid w:val="00BA45EE"/>
    <w:rsid w:val="00BA5904"/>
    <w:rsid w:val="00BA727E"/>
    <w:rsid w:val="00BA776D"/>
    <w:rsid w:val="00BB10F6"/>
    <w:rsid w:val="00BB1CDB"/>
    <w:rsid w:val="00BB270A"/>
    <w:rsid w:val="00BB3032"/>
    <w:rsid w:val="00BB5BD8"/>
    <w:rsid w:val="00BB66C4"/>
    <w:rsid w:val="00BB6948"/>
    <w:rsid w:val="00BB6E79"/>
    <w:rsid w:val="00BB7FB8"/>
    <w:rsid w:val="00BC0268"/>
    <w:rsid w:val="00BC18C1"/>
    <w:rsid w:val="00BC2344"/>
    <w:rsid w:val="00BC264A"/>
    <w:rsid w:val="00BC3441"/>
    <w:rsid w:val="00BC5D23"/>
    <w:rsid w:val="00BC61E5"/>
    <w:rsid w:val="00BC6274"/>
    <w:rsid w:val="00BD125F"/>
    <w:rsid w:val="00BD1BEA"/>
    <w:rsid w:val="00BD26DB"/>
    <w:rsid w:val="00BD2A15"/>
    <w:rsid w:val="00BD3BD8"/>
    <w:rsid w:val="00BD4272"/>
    <w:rsid w:val="00BD47F0"/>
    <w:rsid w:val="00BD56F6"/>
    <w:rsid w:val="00BD67A7"/>
    <w:rsid w:val="00BE0B27"/>
    <w:rsid w:val="00BE250D"/>
    <w:rsid w:val="00BE43F5"/>
    <w:rsid w:val="00BE4703"/>
    <w:rsid w:val="00BE679D"/>
    <w:rsid w:val="00BE6CA8"/>
    <w:rsid w:val="00BE70CF"/>
    <w:rsid w:val="00BE7A36"/>
    <w:rsid w:val="00BE7EB2"/>
    <w:rsid w:val="00BF0233"/>
    <w:rsid w:val="00BF0459"/>
    <w:rsid w:val="00BF0961"/>
    <w:rsid w:val="00BF3C5D"/>
    <w:rsid w:val="00BF3FC8"/>
    <w:rsid w:val="00BF4639"/>
    <w:rsid w:val="00BF5DE4"/>
    <w:rsid w:val="00BF7161"/>
    <w:rsid w:val="00BF7273"/>
    <w:rsid w:val="00BF7911"/>
    <w:rsid w:val="00C00A27"/>
    <w:rsid w:val="00C010AC"/>
    <w:rsid w:val="00C014CA"/>
    <w:rsid w:val="00C01C18"/>
    <w:rsid w:val="00C02DC9"/>
    <w:rsid w:val="00C035CE"/>
    <w:rsid w:val="00C03FB3"/>
    <w:rsid w:val="00C058CC"/>
    <w:rsid w:val="00C06409"/>
    <w:rsid w:val="00C11244"/>
    <w:rsid w:val="00C113CC"/>
    <w:rsid w:val="00C1192E"/>
    <w:rsid w:val="00C120C6"/>
    <w:rsid w:val="00C13E3B"/>
    <w:rsid w:val="00C1415E"/>
    <w:rsid w:val="00C142F8"/>
    <w:rsid w:val="00C15162"/>
    <w:rsid w:val="00C16534"/>
    <w:rsid w:val="00C20259"/>
    <w:rsid w:val="00C213BF"/>
    <w:rsid w:val="00C213EB"/>
    <w:rsid w:val="00C216D7"/>
    <w:rsid w:val="00C223A3"/>
    <w:rsid w:val="00C22C1F"/>
    <w:rsid w:val="00C23231"/>
    <w:rsid w:val="00C247F6"/>
    <w:rsid w:val="00C24906"/>
    <w:rsid w:val="00C25E73"/>
    <w:rsid w:val="00C26BF0"/>
    <w:rsid w:val="00C26FA4"/>
    <w:rsid w:val="00C27C2B"/>
    <w:rsid w:val="00C310C2"/>
    <w:rsid w:val="00C31287"/>
    <w:rsid w:val="00C34745"/>
    <w:rsid w:val="00C34EE2"/>
    <w:rsid w:val="00C35B1E"/>
    <w:rsid w:val="00C35B74"/>
    <w:rsid w:val="00C3651D"/>
    <w:rsid w:val="00C368BB"/>
    <w:rsid w:val="00C368CC"/>
    <w:rsid w:val="00C41C06"/>
    <w:rsid w:val="00C41D65"/>
    <w:rsid w:val="00C44562"/>
    <w:rsid w:val="00C445DC"/>
    <w:rsid w:val="00C44720"/>
    <w:rsid w:val="00C44D34"/>
    <w:rsid w:val="00C46B1A"/>
    <w:rsid w:val="00C47113"/>
    <w:rsid w:val="00C527B6"/>
    <w:rsid w:val="00C53786"/>
    <w:rsid w:val="00C53B4C"/>
    <w:rsid w:val="00C556E3"/>
    <w:rsid w:val="00C56D6D"/>
    <w:rsid w:val="00C578B9"/>
    <w:rsid w:val="00C57C3F"/>
    <w:rsid w:val="00C57FDB"/>
    <w:rsid w:val="00C6030E"/>
    <w:rsid w:val="00C6058A"/>
    <w:rsid w:val="00C60CA4"/>
    <w:rsid w:val="00C60CF3"/>
    <w:rsid w:val="00C60D90"/>
    <w:rsid w:val="00C6220B"/>
    <w:rsid w:val="00C644A0"/>
    <w:rsid w:val="00C6536A"/>
    <w:rsid w:val="00C66EAF"/>
    <w:rsid w:val="00C67301"/>
    <w:rsid w:val="00C70240"/>
    <w:rsid w:val="00C7061F"/>
    <w:rsid w:val="00C7113B"/>
    <w:rsid w:val="00C737A0"/>
    <w:rsid w:val="00C73A90"/>
    <w:rsid w:val="00C73C55"/>
    <w:rsid w:val="00C754C0"/>
    <w:rsid w:val="00C761BD"/>
    <w:rsid w:val="00C7650D"/>
    <w:rsid w:val="00C80002"/>
    <w:rsid w:val="00C8118A"/>
    <w:rsid w:val="00C81667"/>
    <w:rsid w:val="00C83220"/>
    <w:rsid w:val="00C83A0B"/>
    <w:rsid w:val="00C84758"/>
    <w:rsid w:val="00C84B4C"/>
    <w:rsid w:val="00C92E73"/>
    <w:rsid w:val="00C947D1"/>
    <w:rsid w:val="00C94947"/>
    <w:rsid w:val="00C9498A"/>
    <w:rsid w:val="00C9555A"/>
    <w:rsid w:val="00C96855"/>
    <w:rsid w:val="00C96F5A"/>
    <w:rsid w:val="00C97F01"/>
    <w:rsid w:val="00CA047A"/>
    <w:rsid w:val="00CA16F0"/>
    <w:rsid w:val="00CA31A4"/>
    <w:rsid w:val="00CA395A"/>
    <w:rsid w:val="00CA4547"/>
    <w:rsid w:val="00CA4CE5"/>
    <w:rsid w:val="00CA56CC"/>
    <w:rsid w:val="00CA66FC"/>
    <w:rsid w:val="00CA6A99"/>
    <w:rsid w:val="00CA6D60"/>
    <w:rsid w:val="00CA767A"/>
    <w:rsid w:val="00CA7717"/>
    <w:rsid w:val="00CB0B7E"/>
    <w:rsid w:val="00CB0CA3"/>
    <w:rsid w:val="00CB233A"/>
    <w:rsid w:val="00CB3286"/>
    <w:rsid w:val="00CB49F7"/>
    <w:rsid w:val="00CB5722"/>
    <w:rsid w:val="00CC0854"/>
    <w:rsid w:val="00CC1E5A"/>
    <w:rsid w:val="00CC34BC"/>
    <w:rsid w:val="00CC400E"/>
    <w:rsid w:val="00CC45B5"/>
    <w:rsid w:val="00CC5AFF"/>
    <w:rsid w:val="00CC6687"/>
    <w:rsid w:val="00CC6FBA"/>
    <w:rsid w:val="00CC70A0"/>
    <w:rsid w:val="00CC7BDD"/>
    <w:rsid w:val="00CD0D83"/>
    <w:rsid w:val="00CD0F3A"/>
    <w:rsid w:val="00CD28CD"/>
    <w:rsid w:val="00CD385A"/>
    <w:rsid w:val="00CD4628"/>
    <w:rsid w:val="00CD4A3E"/>
    <w:rsid w:val="00CD57C8"/>
    <w:rsid w:val="00CD6073"/>
    <w:rsid w:val="00CD6097"/>
    <w:rsid w:val="00CD616F"/>
    <w:rsid w:val="00CD6A7E"/>
    <w:rsid w:val="00CD6B95"/>
    <w:rsid w:val="00CD6D25"/>
    <w:rsid w:val="00CD6D6B"/>
    <w:rsid w:val="00CD76AA"/>
    <w:rsid w:val="00CD778B"/>
    <w:rsid w:val="00CE1636"/>
    <w:rsid w:val="00CE1A42"/>
    <w:rsid w:val="00CE3418"/>
    <w:rsid w:val="00CE447E"/>
    <w:rsid w:val="00CE4CFA"/>
    <w:rsid w:val="00CE5E7D"/>
    <w:rsid w:val="00CF042A"/>
    <w:rsid w:val="00CF0ED4"/>
    <w:rsid w:val="00CF2BEF"/>
    <w:rsid w:val="00CF2ED0"/>
    <w:rsid w:val="00CF35B4"/>
    <w:rsid w:val="00CF3E4A"/>
    <w:rsid w:val="00CF56DE"/>
    <w:rsid w:val="00CF5A4A"/>
    <w:rsid w:val="00CF6643"/>
    <w:rsid w:val="00CF6DFF"/>
    <w:rsid w:val="00CF7429"/>
    <w:rsid w:val="00D01E17"/>
    <w:rsid w:val="00D02C64"/>
    <w:rsid w:val="00D04410"/>
    <w:rsid w:val="00D0457D"/>
    <w:rsid w:val="00D066AB"/>
    <w:rsid w:val="00D07E60"/>
    <w:rsid w:val="00D10873"/>
    <w:rsid w:val="00D1286A"/>
    <w:rsid w:val="00D13F48"/>
    <w:rsid w:val="00D143C3"/>
    <w:rsid w:val="00D1665B"/>
    <w:rsid w:val="00D1747F"/>
    <w:rsid w:val="00D1749C"/>
    <w:rsid w:val="00D17CBD"/>
    <w:rsid w:val="00D211AD"/>
    <w:rsid w:val="00D221A2"/>
    <w:rsid w:val="00D22DD3"/>
    <w:rsid w:val="00D256E9"/>
    <w:rsid w:val="00D259A4"/>
    <w:rsid w:val="00D25D39"/>
    <w:rsid w:val="00D267D5"/>
    <w:rsid w:val="00D26887"/>
    <w:rsid w:val="00D2795F"/>
    <w:rsid w:val="00D27A07"/>
    <w:rsid w:val="00D30244"/>
    <w:rsid w:val="00D30870"/>
    <w:rsid w:val="00D30F17"/>
    <w:rsid w:val="00D32739"/>
    <w:rsid w:val="00D32A51"/>
    <w:rsid w:val="00D3396B"/>
    <w:rsid w:val="00D33A2C"/>
    <w:rsid w:val="00D33EDF"/>
    <w:rsid w:val="00D3532A"/>
    <w:rsid w:val="00D36281"/>
    <w:rsid w:val="00D363F6"/>
    <w:rsid w:val="00D3777F"/>
    <w:rsid w:val="00D4320B"/>
    <w:rsid w:val="00D468F0"/>
    <w:rsid w:val="00D476E8"/>
    <w:rsid w:val="00D50223"/>
    <w:rsid w:val="00D516FB"/>
    <w:rsid w:val="00D524B0"/>
    <w:rsid w:val="00D5287A"/>
    <w:rsid w:val="00D52A2B"/>
    <w:rsid w:val="00D52D40"/>
    <w:rsid w:val="00D5421C"/>
    <w:rsid w:val="00D54CB5"/>
    <w:rsid w:val="00D561A7"/>
    <w:rsid w:val="00D56CEF"/>
    <w:rsid w:val="00D56E00"/>
    <w:rsid w:val="00D57373"/>
    <w:rsid w:val="00D577FF"/>
    <w:rsid w:val="00D60449"/>
    <w:rsid w:val="00D60811"/>
    <w:rsid w:val="00D60E00"/>
    <w:rsid w:val="00D642C6"/>
    <w:rsid w:val="00D653F4"/>
    <w:rsid w:val="00D65D1C"/>
    <w:rsid w:val="00D669BA"/>
    <w:rsid w:val="00D67A55"/>
    <w:rsid w:val="00D67C8D"/>
    <w:rsid w:val="00D7040A"/>
    <w:rsid w:val="00D72B06"/>
    <w:rsid w:val="00D72B22"/>
    <w:rsid w:val="00D73D7E"/>
    <w:rsid w:val="00D7463C"/>
    <w:rsid w:val="00D758B1"/>
    <w:rsid w:val="00D80096"/>
    <w:rsid w:val="00D8188A"/>
    <w:rsid w:val="00D8220F"/>
    <w:rsid w:val="00D82723"/>
    <w:rsid w:val="00D838DD"/>
    <w:rsid w:val="00D83F60"/>
    <w:rsid w:val="00D852F3"/>
    <w:rsid w:val="00D854E7"/>
    <w:rsid w:val="00D86117"/>
    <w:rsid w:val="00D86387"/>
    <w:rsid w:val="00D86985"/>
    <w:rsid w:val="00D86AD9"/>
    <w:rsid w:val="00D9184A"/>
    <w:rsid w:val="00D92173"/>
    <w:rsid w:val="00D92692"/>
    <w:rsid w:val="00D92E91"/>
    <w:rsid w:val="00D9366F"/>
    <w:rsid w:val="00D93E18"/>
    <w:rsid w:val="00D950FF"/>
    <w:rsid w:val="00DA0E02"/>
    <w:rsid w:val="00DA1BBF"/>
    <w:rsid w:val="00DA2826"/>
    <w:rsid w:val="00DA3393"/>
    <w:rsid w:val="00DA4BB7"/>
    <w:rsid w:val="00DA5CF8"/>
    <w:rsid w:val="00DA6805"/>
    <w:rsid w:val="00DA6BD6"/>
    <w:rsid w:val="00DA7913"/>
    <w:rsid w:val="00DA7AA7"/>
    <w:rsid w:val="00DA7C9B"/>
    <w:rsid w:val="00DB15D2"/>
    <w:rsid w:val="00DB2537"/>
    <w:rsid w:val="00DB2D05"/>
    <w:rsid w:val="00DB38E0"/>
    <w:rsid w:val="00DB43DB"/>
    <w:rsid w:val="00DB6BAF"/>
    <w:rsid w:val="00DC02A9"/>
    <w:rsid w:val="00DC24CC"/>
    <w:rsid w:val="00DC2DC2"/>
    <w:rsid w:val="00DC3DA5"/>
    <w:rsid w:val="00DC593A"/>
    <w:rsid w:val="00DC5DEC"/>
    <w:rsid w:val="00DC6DC9"/>
    <w:rsid w:val="00DC6ED7"/>
    <w:rsid w:val="00DC7BE1"/>
    <w:rsid w:val="00DC7F14"/>
    <w:rsid w:val="00DD04E5"/>
    <w:rsid w:val="00DD0D89"/>
    <w:rsid w:val="00DD31B4"/>
    <w:rsid w:val="00DD3F3D"/>
    <w:rsid w:val="00DD63F7"/>
    <w:rsid w:val="00DE2B9A"/>
    <w:rsid w:val="00DE2CE9"/>
    <w:rsid w:val="00DE5061"/>
    <w:rsid w:val="00DE53A4"/>
    <w:rsid w:val="00DE63E0"/>
    <w:rsid w:val="00DE7710"/>
    <w:rsid w:val="00DE7C8B"/>
    <w:rsid w:val="00DF0193"/>
    <w:rsid w:val="00DF09C7"/>
    <w:rsid w:val="00DF0AE7"/>
    <w:rsid w:val="00DF12C4"/>
    <w:rsid w:val="00DF197C"/>
    <w:rsid w:val="00DF253B"/>
    <w:rsid w:val="00DF2924"/>
    <w:rsid w:val="00DF3851"/>
    <w:rsid w:val="00DF3A61"/>
    <w:rsid w:val="00DF7EE5"/>
    <w:rsid w:val="00E00726"/>
    <w:rsid w:val="00E01227"/>
    <w:rsid w:val="00E01A8C"/>
    <w:rsid w:val="00E025A5"/>
    <w:rsid w:val="00E02817"/>
    <w:rsid w:val="00E04367"/>
    <w:rsid w:val="00E04DEB"/>
    <w:rsid w:val="00E04E0D"/>
    <w:rsid w:val="00E07ED8"/>
    <w:rsid w:val="00E106E8"/>
    <w:rsid w:val="00E1201D"/>
    <w:rsid w:val="00E13239"/>
    <w:rsid w:val="00E13D5B"/>
    <w:rsid w:val="00E14107"/>
    <w:rsid w:val="00E156B3"/>
    <w:rsid w:val="00E158EC"/>
    <w:rsid w:val="00E15BF2"/>
    <w:rsid w:val="00E16278"/>
    <w:rsid w:val="00E16684"/>
    <w:rsid w:val="00E20112"/>
    <w:rsid w:val="00E20658"/>
    <w:rsid w:val="00E208B4"/>
    <w:rsid w:val="00E20BC1"/>
    <w:rsid w:val="00E216EE"/>
    <w:rsid w:val="00E21A43"/>
    <w:rsid w:val="00E2256D"/>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0CAC"/>
    <w:rsid w:val="00E3120F"/>
    <w:rsid w:val="00E315F1"/>
    <w:rsid w:val="00E32535"/>
    <w:rsid w:val="00E32C34"/>
    <w:rsid w:val="00E32D61"/>
    <w:rsid w:val="00E34AD3"/>
    <w:rsid w:val="00E358D6"/>
    <w:rsid w:val="00E35FE2"/>
    <w:rsid w:val="00E3602A"/>
    <w:rsid w:val="00E37722"/>
    <w:rsid w:val="00E37BCC"/>
    <w:rsid w:val="00E40264"/>
    <w:rsid w:val="00E411CD"/>
    <w:rsid w:val="00E41A13"/>
    <w:rsid w:val="00E431F0"/>
    <w:rsid w:val="00E4382C"/>
    <w:rsid w:val="00E43AFB"/>
    <w:rsid w:val="00E44231"/>
    <w:rsid w:val="00E447CE"/>
    <w:rsid w:val="00E44AF3"/>
    <w:rsid w:val="00E44EBB"/>
    <w:rsid w:val="00E46701"/>
    <w:rsid w:val="00E46CEF"/>
    <w:rsid w:val="00E5038F"/>
    <w:rsid w:val="00E504DE"/>
    <w:rsid w:val="00E50D24"/>
    <w:rsid w:val="00E51C3A"/>
    <w:rsid w:val="00E52C77"/>
    <w:rsid w:val="00E53687"/>
    <w:rsid w:val="00E57301"/>
    <w:rsid w:val="00E57EE6"/>
    <w:rsid w:val="00E66082"/>
    <w:rsid w:val="00E66222"/>
    <w:rsid w:val="00E667DC"/>
    <w:rsid w:val="00E66D8E"/>
    <w:rsid w:val="00E704FA"/>
    <w:rsid w:val="00E715E7"/>
    <w:rsid w:val="00E71CA5"/>
    <w:rsid w:val="00E7263B"/>
    <w:rsid w:val="00E72FCB"/>
    <w:rsid w:val="00E737DA"/>
    <w:rsid w:val="00E73877"/>
    <w:rsid w:val="00E7416F"/>
    <w:rsid w:val="00E77646"/>
    <w:rsid w:val="00E77984"/>
    <w:rsid w:val="00E82428"/>
    <w:rsid w:val="00E82442"/>
    <w:rsid w:val="00E8278C"/>
    <w:rsid w:val="00E830D6"/>
    <w:rsid w:val="00E8370A"/>
    <w:rsid w:val="00E844F8"/>
    <w:rsid w:val="00E85A54"/>
    <w:rsid w:val="00E866FF"/>
    <w:rsid w:val="00E90736"/>
    <w:rsid w:val="00E907A9"/>
    <w:rsid w:val="00E90E94"/>
    <w:rsid w:val="00E9116D"/>
    <w:rsid w:val="00E92066"/>
    <w:rsid w:val="00E922AF"/>
    <w:rsid w:val="00E9359C"/>
    <w:rsid w:val="00E94663"/>
    <w:rsid w:val="00E94711"/>
    <w:rsid w:val="00E94FCE"/>
    <w:rsid w:val="00E964FA"/>
    <w:rsid w:val="00E97BC9"/>
    <w:rsid w:val="00E97EB2"/>
    <w:rsid w:val="00EA0C07"/>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C73"/>
    <w:rsid w:val="00EC5357"/>
    <w:rsid w:val="00EC67E0"/>
    <w:rsid w:val="00ED091B"/>
    <w:rsid w:val="00ED1902"/>
    <w:rsid w:val="00ED22D5"/>
    <w:rsid w:val="00ED252C"/>
    <w:rsid w:val="00ED2990"/>
    <w:rsid w:val="00ED3242"/>
    <w:rsid w:val="00ED3D7C"/>
    <w:rsid w:val="00ED41B8"/>
    <w:rsid w:val="00ED45EE"/>
    <w:rsid w:val="00ED4F13"/>
    <w:rsid w:val="00ED6159"/>
    <w:rsid w:val="00ED6467"/>
    <w:rsid w:val="00EE0F93"/>
    <w:rsid w:val="00EE1DA5"/>
    <w:rsid w:val="00EE2411"/>
    <w:rsid w:val="00EE2550"/>
    <w:rsid w:val="00EE416B"/>
    <w:rsid w:val="00EE61C6"/>
    <w:rsid w:val="00EF178C"/>
    <w:rsid w:val="00EF1A7A"/>
    <w:rsid w:val="00EF2113"/>
    <w:rsid w:val="00EF6609"/>
    <w:rsid w:val="00EF6957"/>
    <w:rsid w:val="00EF79DF"/>
    <w:rsid w:val="00EF7C1D"/>
    <w:rsid w:val="00F005C1"/>
    <w:rsid w:val="00F00935"/>
    <w:rsid w:val="00F00D11"/>
    <w:rsid w:val="00F00F3C"/>
    <w:rsid w:val="00F0191A"/>
    <w:rsid w:val="00F0252C"/>
    <w:rsid w:val="00F0293A"/>
    <w:rsid w:val="00F0301C"/>
    <w:rsid w:val="00F037B2"/>
    <w:rsid w:val="00F03CC2"/>
    <w:rsid w:val="00F03E1A"/>
    <w:rsid w:val="00F040A8"/>
    <w:rsid w:val="00F05D5C"/>
    <w:rsid w:val="00F062FB"/>
    <w:rsid w:val="00F069E8"/>
    <w:rsid w:val="00F07BC0"/>
    <w:rsid w:val="00F07C5C"/>
    <w:rsid w:val="00F07E78"/>
    <w:rsid w:val="00F117F4"/>
    <w:rsid w:val="00F11F29"/>
    <w:rsid w:val="00F134C1"/>
    <w:rsid w:val="00F1367B"/>
    <w:rsid w:val="00F15636"/>
    <w:rsid w:val="00F2137D"/>
    <w:rsid w:val="00F21BE7"/>
    <w:rsid w:val="00F2253A"/>
    <w:rsid w:val="00F2301F"/>
    <w:rsid w:val="00F23A92"/>
    <w:rsid w:val="00F24BCE"/>
    <w:rsid w:val="00F25514"/>
    <w:rsid w:val="00F267B1"/>
    <w:rsid w:val="00F27F5D"/>
    <w:rsid w:val="00F319A4"/>
    <w:rsid w:val="00F32766"/>
    <w:rsid w:val="00F327CB"/>
    <w:rsid w:val="00F32B52"/>
    <w:rsid w:val="00F343ED"/>
    <w:rsid w:val="00F35C83"/>
    <w:rsid w:val="00F3677D"/>
    <w:rsid w:val="00F376A9"/>
    <w:rsid w:val="00F37CA1"/>
    <w:rsid w:val="00F401C9"/>
    <w:rsid w:val="00F4035C"/>
    <w:rsid w:val="00F40450"/>
    <w:rsid w:val="00F4394C"/>
    <w:rsid w:val="00F4403B"/>
    <w:rsid w:val="00F440F1"/>
    <w:rsid w:val="00F44B92"/>
    <w:rsid w:val="00F44EFC"/>
    <w:rsid w:val="00F4538B"/>
    <w:rsid w:val="00F45EC7"/>
    <w:rsid w:val="00F46AE5"/>
    <w:rsid w:val="00F46CAF"/>
    <w:rsid w:val="00F479E8"/>
    <w:rsid w:val="00F47B73"/>
    <w:rsid w:val="00F52619"/>
    <w:rsid w:val="00F52C3A"/>
    <w:rsid w:val="00F5349C"/>
    <w:rsid w:val="00F53685"/>
    <w:rsid w:val="00F5379A"/>
    <w:rsid w:val="00F54943"/>
    <w:rsid w:val="00F55882"/>
    <w:rsid w:val="00F55FA4"/>
    <w:rsid w:val="00F56B01"/>
    <w:rsid w:val="00F57139"/>
    <w:rsid w:val="00F6320D"/>
    <w:rsid w:val="00F64898"/>
    <w:rsid w:val="00F64F90"/>
    <w:rsid w:val="00F65809"/>
    <w:rsid w:val="00F65AB8"/>
    <w:rsid w:val="00F668A0"/>
    <w:rsid w:val="00F702E3"/>
    <w:rsid w:val="00F73CD2"/>
    <w:rsid w:val="00F73CD8"/>
    <w:rsid w:val="00F75DC4"/>
    <w:rsid w:val="00F76A8E"/>
    <w:rsid w:val="00F80B9A"/>
    <w:rsid w:val="00F80EEF"/>
    <w:rsid w:val="00F80F4F"/>
    <w:rsid w:val="00F81482"/>
    <w:rsid w:val="00F82389"/>
    <w:rsid w:val="00F82451"/>
    <w:rsid w:val="00F82480"/>
    <w:rsid w:val="00F8344F"/>
    <w:rsid w:val="00F8484A"/>
    <w:rsid w:val="00F84D67"/>
    <w:rsid w:val="00F84D8F"/>
    <w:rsid w:val="00F85F1B"/>
    <w:rsid w:val="00F878DF"/>
    <w:rsid w:val="00F9025E"/>
    <w:rsid w:val="00F90679"/>
    <w:rsid w:val="00F92B9C"/>
    <w:rsid w:val="00F941A4"/>
    <w:rsid w:val="00F942C6"/>
    <w:rsid w:val="00F94FDD"/>
    <w:rsid w:val="00F953FC"/>
    <w:rsid w:val="00F953FF"/>
    <w:rsid w:val="00F97AC5"/>
    <w:rsid w:val="00FA18D9"/>
    <w:rsid w:val="00FA21CB"/>
    <w:rsid w:val="00FA2A34"/>
    <w:rsid w:val="00FA2AA3"/>
    <w:rsid w:val="00FA3A56"/>
    <w:rsid w:val="00FA431C"/>
    <w:rsid w:val="00FA4AC9"/>
    <w:rsid w:val="00FA4F72"/>
    <w:rsid w:val="00FA5DDB"/>
    <w:rsid w:val="00FA6174"/>
    <w:rsid w:val="00FA6734"/>
    <w:rsid w:val="00FA6A6C"/>
    <w:rsid w:val="00FB1BC1"/>
    <w:rsid w:val="00FB409D"/>
    <w:rsid w:val="00FB4AFE"/>
    <w:rsid w:val="00FB5C45"/>
    <w:rsid w:val="00FB608A"/>
    <w:rsid w:val="00FB7602"/>
    <w:rsid w:val="00FB7ECF"/>
    <w:rsid w:val="00FC0A26"/>
    <w:rsid w:val="00FC14F6"/>
    <w:rsid w:val="00FC1938"/>
    <w:rsid w:val="00FC1A1E"/>
    <w:rsid w:val="00FC1EF6"/>
    <w:rsid w:val="00FC1FE0"/>
    <w:rsid w:val="00FC203B"/>
    <w:rsid w:val="00FC35B3"/>
    <w:rsid w:val="00FC3A21"/>
    <w:rsid w:val="00FC5BFF"/>
    <w:rsid w:val="00FC617D"/>
    <w:rsid w:val="00FC6AD4"/>
    <w:rsid w:val="00FC6F91"/>
    <w:rsid w:val="00FD0FF6"/>
    <w:rsid w:val="00FD37F5"/>
    <w:rsid w:val="00FD4993"/>
    <w:rsid w:val="00FD4D0A"/>
    <w:rsid w:val="00FD4D33"/>
    <w:rsid w:val="00FD5AEB"/>
    <w:rsid w:val="00FD664E"/>
    <w:rsid w:val="00FD7980"/>
    <w:rsid w:val="00FE09CE"/>
    <w:rsid w:val="00FE1463"/>
    <w:rsid w:val="00FE153C"/>
    <w:rsid w:val="00FE3BDD"/>
    <w:rsid w:val="00FE3DB7"/>
    <w:rsid w:val="00FE615E"/>
    <w:rsid w:val="00FE7471"/>
    <w:rsid w:val="00FF0517"/>
    <w:rsid w:val="00FF246F"/>
    <w:rsid w:val="00FF32A8"/>
    <w:rsid w:val="00FF38C6"/>
    <w:rsid w:val="00FF4D46"/>
    <w:rsid w:val="00FF5684"/>
    <w:rsid w:val="00FF64ED"/>
    <w:rsid w:val="00FF6E4F"/>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lsdException w:name="annotation text" w:semiHidden="1" w:unhideWhenUsed="1"/>
    <w:lsdException w:name="footer" w:uiPriority="99"/>
    <w:lsdException w:name="index heading" w:semiHidden="1" w:unhideWhenUsed="1"/>
    <w:lsdException w:name="table of figures"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D04410"/>
    <w:rPr>
      <w:rFonts w:ascii="Arial" w:hAnsi="Arial"/>
      <w:sz w:val="22"/>
      <w:szCs w:val="24"/>
    </w:rPr>
  </w:style>
  <w:style w:type="paragraph" w:styleId="Heading1">
    <w:name w:val="heading 1"/>
    <w:next w:val="NNMainBody"/>
    <w:link w:val="Heading1Char"/>
    <w:qFormat/>
    <w:rsid w:val="001E1897"/>
    <w:pPr>
      <w:keepNext/>
      <w:numPr>
        <w:numId w:val="5"/>
      </w:numPr>
      <w:spacing w:line="460" w:lineRule="exact"/>
      <w:outlineLvl w:val="0"/>
    </w:pPr>
    <w:rPr>
      <w:rFonts w:ascii="Arial Black" w:eastAsiaTheme="majorEastAsia" w:hAnsi="Arial Black" w:cstheme="majorBidi"/>
      <w:bCs/>
      <w:color w:val="595959" w:themeColor="text1" w:themeTint="A6"/>
      <w:kern w:val="32"/>
      <w:sz w:val="42"/>
      <w:szCs w:val="32"/>
    </w:rPr>
  </w:style>
  <w:style w:type="paragraph" w:styleId="Heading2">
    <w:name w:val="heading 2"/>
    <w:basedOn w:val="Normal"/>
    <w:next w:val="Normal"/>
    <w:link w:val="Heading2Char"/>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4A5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44231"/>
    <w:rPr>
      <w:rFonts w:ascii="Arial" w:hAnsi="Arial"/>
      <w:sz w:val="22"/>
      <w:szCs w:val="24"/>
    </w:rPr>
  </w:style>
  <w:style w:type="character" w:customStyle="1" w:styleId="Heading1Char">
    <w:name w:val="Heading 1 Char"/>
    <w:basedOn w:val="DefaultParagraphFont"/>
    <w:link w:val="Heading1"/>
    <w:rsid w:val="001E1897"/>
    <w:rPr>
      <w:rFonts w:ascii="Arial Black" w:eastAsiaTheme="majorEastAsia" w:hAnsi="Arial Black" w:cstheme="majorBidi"/>
      <w:bCs/>
      <w:color w:val="595959" w:themeColor="text1" w:themeTint="A6"/>
      <w:kern w:val="32"/>
      <w:sz w:val="42"/>
      <w:szCs w:val="32"/>
    </w:rPr>
  </w:style>
  <w:style w:type="paragraph" w:styleId="Header">
    <w:name w:val="header"/>
    <w:basedOn w:val="Normal"/>
    <w:link w:val="HeaderChar"/>
    <w:rsid w:val="00AE2733"/>
    <w:pPr>
      <w:tabs>
        <w:tab w:val="center" w:pos="4680"/>
        <w:tab w:val="right" w:pos="9360"/>
      </w:tabs>
    </w:pPr>
  </w:style>
  <w:style w:type="character" w:customStyle="1" w:styleId="HeaderChar">
    <w:name w:val="Header Char"/>
    <w:basedOn w:val="DefaultParagraphFont"/>
    <w:link w:val="Header"/>
    <w:rsid w:val="00D67C8D"/>
    <w:rPr>
      <w:sz w:val="24"/>
      <w:szCs w:val="24"/>
    </w:rPr>
  </w:style>
  <w:style w:type="paragraph" w:styleId="Footer">
    <w:name w:val="footer"/>
    <w:basedOn w:val="Normal"/>
    <w:link w:val="FooterChar"/>
    <w:uiPriority w:val="99"/>
    <w:rsid w:val="001E1897"/>
    <w:pPr>
      <w:tabs>
        <w:tab w:val="center" w:pos="4680"/>
        <w:tab w:val="right" w:pos="9360"/>
      </w:tabs>
      <w:jc w:val="right"/>
    </w:pPr>
    <w:rPr>
      <w:rFonts w:ascii="Arial Black" w:hAnsi="Arial Black"/>
      <w:sz w:val="16"/>
      <w:szCs w:val="16"/>
    </w:rPr>
  </w:style>
  <w:style w:type="character" w:customStyle="1" w:styleId="FooterChar">
    <w:name w:val="Footer Char"/>
    <w:basedOn w:val="DefaultParagraphFont"/>
    <w:link w:val="Footer"/>
    <w:uiPriority w:val="99"/>
    <w:rsid w:val="00D67C8D"/>
    <w:rPr>
      <w:rFonts w:ascii="Arial Black" w:hAnsi="Arial Black"/>
      <w:sz w:val="16"/>
      <w:szCs w:val="16"/>
    </w:rPr>
  </w:style>
  <w:style w:type="paragraph" w:styleId="BalloonText">
    <w:name w:val="Balloon Text"/>
    <w:basedOn w:val="Normal"/>
    <w:link w:val="BalloonTextChar"/>
    <w:semiHidden/>
    <w:unhideWhenUsed/>
    <w:rsid w:val="00AE2733"/>
    <w:rPr>
      <w:rFonts w:ascii="Tahoma" w:hAnsi="Tahoma" w:cs="Tahoma"/>
      <w:sz w:val="16"/>
      <w:szCs w:val="16"/>
    </w:rPr>
  </w:style>
  <w:style w:type="character" w:customStyle="1" w:styleId="BalloonTextChar">
    <w:name w:val="Balloon Text Char"/>
    <w:basedOn w:val="DefaultParagraphFont"/>
    <w:link w:val="BalloonText"/>
    <w:semiHidden/>
    <w:rsid w:val="00D92173"/>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semiHidden/>
    <w:rsid w:val="00D921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217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9217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9217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9217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9217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9217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92173"/>
    <w:rPr>
      <w:rFonts w:asciiTheme="majorHAnsi" w:eastAsiaTheme="majorEastAsia" w:hAnsiTheme="majorHAnsi" w:cstheme="majorBidi"/>
      <w:i/>
      <w:iCs/>
      <w:color w:val="404040" w:themeColor="text1" w:themeTint="BF"/>
    </w:rPr>
  </w:style>
  <w:style w:type="paragraph" w:customStyle="1" w:styleId="NN02">
    <w:name w:val="NN 02"/>
    <w:next w:val="NNMainBody"/>
    <w:qFormat/>
    <w:rsid w:val="001E1897"/>
    <w:pPr>
      <w:keepNext/>
      <w:keepLines/>
      <w:spacing w:before="240"/>
    </w:pPr>
    <w:rPr>
      <w:rFonts w:ascii="Arial Black" w:hAnsi="Arial Black"/>
      <w:sz w:val="32"/>
      <w:szCs w:val="32"/>
    </w:rPr>
  </w:style>
  <w:style w:type="paragraph" w:customStyle="1" w:styleId="NN03">
    <w:name w:val="NN 03"/>
    <w:next w:val="NNMainBody"/>
    <w:qFormat/>
    <w:rsid w:val="001E1897"/>
    <w:pPr>
      <w:keepNext/>
      <w:keepLines/>
      <w:spacing w:before="240"/>
    </w:pPr>
    <w:rPr>
      <w:rFonts w:ascii="Arial" w:hAnsi="Arial"/>
      <w:b/>
      <w:sz w:val="30"/>
      <w:szCs w:val="30"/>
    </w:rPr>
  </w:style>
  <w:style w:type="paragraph" w:customStyle="1" w:styleId="NN04">
    <w:name w:val="NN 04"/>
    <w:basedOn w:val="NN05"/>
    <w:next w:val="NNMainBody"/>
    <w:qFormat/>
    <w:rsid w:val="001E1897"/>
    <w:rPr>
      <w:i w:val="0"/>
      <w:sz w:val="28"/>
      <w:szCs w:val="28"/>
    </w:rPr>
  </w:style>
  <w:style w:type="paragraph" w:customStyle="1" w:styleId="NN05">
    <w:name w:val="NN 05"/>
    <w:next w:val="NNMainBody"/>
    <w:qFormat/>
    <w:rsid w:val="001E1897"/>
    <w:pPr>
      <w:keepNext/>
      <w:keepLines/>
      <w:spacing w:before="240"/>
    </w:pPr>
    <w:rPr>
      <w:rFonts w:ascii="Arial Narrow" w:hAnsi="Arial Narrow"/>
      <w:b/>
      <w:i/>
      <w:sz w:val="24"/>
      <w:szCs w:val="24"/>
    </w:rPr>
  </w:style>
  <w:style w:type="paragraph" w:customStyle="1" w:styleId="NN06">
    <w:name w:val="NN 06"/>
    <w:basedOn w:val="NNMainBody"/>
    <w:next w:val="NNMainBody"/>
    <w:qFormat/>
    <w:rsid w:val="001E1897"/>
    <w:pPr>
      <w:keepNext/>
      <w:keepLines/>
      <w:spacing w:before="240"/>
    </w:pPr>
    <w:rPr>
      <w:rFonts w:ascii="Arial Narrow" w:hAnsi="Arial Narrow"/>
      <w:i/>
      <w:sz w:val="24"/>
    </w:rPr>
  </w:style>
  <w:style w:type="paragraph" w:customStyle="1" w:styleId="NNBullets">
    <w:name w:val="NN Bullets"/>
    <w:basedOn w:val="Normal"/>
    <w:link w:val="NNBulletsChar"/>
    <w:qFormat/>
    <w:rsid w:val="00F5349C"/>
    <w:pPr>
      <w:numPr>
        <w:numId w:val="20"/>
      </w:numPr>
      <w:spacing w:before="0" w:after="60"/>
      <w:ind w:left="720"/>
    </w:pPr>
  </w:style>
  <w:style w:type="paragraph" w:customStyle="1" w:styleId="NNIndList">
    <w:name w:val="NN Ind # List"/>
    <w:basedOn w:val="NNMainBody"/>
    <w:rsid w:val="002A3B78"/>
    <w:pPr>
      <w:spacing w:before="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MainBody"/>
    <w:qFormat/>
    <w:rsid w:val="009A729F"/>
    <w:pPr>
      <w:tabs>
        <w:tab w:val="left" w:pos="720"/>
      </w:tabs>
      <w:spacing w:before="60" w:after="60"/>
    </w:pPr>
    <w:rPr>
      <w:rFonts w:ascii="Arial Narrow" w:hAnsi="Arial Narrow"/>
      <w:sz w:val="16"/>
      <w:szCs w:val="16"/>
    </w:rPr>
  </w:style>
  <w:style w:type="paragraph" w:customStyle="1" w:styleId="NNTableHeader">
    <w:name w:val="NN Table Header"/>
    <w:basedOn w:val="NNTableText"/>
    <w:qFormat/>
    <w:rsid w:val="007A6B51"/>
    <w:pPr>
      <w:keepNext/>
      <w:keepLines/>
      <w:jc w:val="center"/>
    </w:pPr>
    <w:rPr>
      <w:b/>
    </w:rPr>
  </w:style>
  <w:style w:type="paragraph" w:customStyle="1" w:styleId="NNTableSubheader">
    <w:name w:val="NN Table Subheader"/>
    <w:basedOn w:val="NNTableText"/>
    <w:qFormat/>
    <w:rsid w:val="006E7654"/>
    <w:pPr>
      <w:spacing w:after="0"/>
    </w:pPr>
    <w:rPr>
      <w:b/>
      <w:color w:val="FFFFFF" w:themeColor="background1"/>
    </w:rPr>
  </w:style>
  <w:style w:type="table" w:styleId="TableGrid">
    <w:name w:val="Table Grid"/>
    <w:basedOn w:val="TableNormal"/>
    <w:rsid w:val="00FB1B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NTableText">
    <w:name w:val="NN Table Text"/>
    <w:basedOn w:val="NNMainBody"/>
    <w:qFormat/>
    <w:rsid w:val="001F390C"/>
    <w:pPr>
      <w:spacing w:before="60" w:after="60"/>
    </w:pPr>
    <w:rPr>
      <w:rFonts w:ascii="Arial Narrow" w:hAnsi="Arial Narrow"/>
    </w:rPr>
  </w:style>
  <w:style w:type="paragraph" w:styleId="Caption">
    <w:name w:val="caption"/>
    <w:basedOn w:val="Normal"/>
    <w:next w:val="NNMainBody"/>
    <w:rsid w:val="007A6B51"/>
    <w:pPr>
      <w:keepNext/>
      <w:keepLines/>
      <w:ind w:left="1260" w:hanging="1260"/>
    </w:pPr>
    <w:rPr>
      <w:rFonts w:cs="Arial"/>
      <w:b/>
      <w:bCs/>
      <w:szCs w:val="22"/>
    </w:rPr>
  </w:style>
  <w:style w:type="paragraph" w:styleId="FootnoteText">
    <w:name w:val="footnote text"/>
    <w:basedOn w:val="Normal"/>
    <w:link w:val="FootnoteTextChar"/>
    <w:uiPriority w:val="99"/>
    <w:rsid w:val="00E44231"/>
    <w:pPr>
      <w:spacing w:after="60"/>
    </w:pPr>
    <w:rPr>
      <w:sz w:val="18"/>
      <w:szCs w:val="20"/>
    </w:rPr>
  </w:style>
  <w:style w:type="character" w:customStyle="1" w:styleId="FootnoteTextChar">
    <w:name w:val="Footnote Text Char"/>
    <w:basedOn w:val="DefaultParagraphFont"/>
    <w:link w:val="FootnoteText"/>
    <w:uiPriority w:val="99"/>
    <w:rsid w:val="00E44231"/>
    <w:rPr>
      <w:rFonts w:ascii="Arial" w:hAnsi="Arial"/>
      <w:sz w:val="18"/>
    </w:rPr>
  </w:style>
  <w:style w:type="character" w:styleId="FootnoteReference">
    <w:name w:val="footnote reference"/>
    <w:basedOn w:val="DefaultParagraphFont"/>
    <w:uiPriority w:val="99"/>
    <w:unhideWhenUsed/>
    <w:rsid w:val="00424702"/>
    <w:rPr>
      <w:vertAlign w:val="superscript"/>
    </w:rPr>
  </w:style>
  <w:style w:type="paragraph" w:styleId="TOC1">
    <w:name w:val="toc 1"/>
    <w:basedOn w:val="Normal"/>
    <w:next w:val="TOC2"/>
    <w:autoRedefine/>
    <w:uiPriority w:val="39"/>
    <w:qFormat/>
    <w:rsid w:val="00AE6142"/>
    <w:pPr>
      <w:keepNext/>
      <w:keepLines/>
      <w:tabs>
        <w:tab w:val="right" w:leader="dot" w:pos="9360"/>
      </w:tabs>
      <w:spacing w:after="0"/>
      <w:ind w:left="990" w:hanging="990"/>
    </w:pPr>
    <w:rPr>
      <w:rFonts w:ascii="Arial Narrow" w:hAnsi="Arial Narrow"/>
      <w:b/>
    </w:rPr>
  </w:style>
  <w:style w:type="paragraph" w:styleId="TableofFigures">
    <w:name w:val="table of figures"/>
    <w:qFormat/>
    <w:rsid w:val="00182B59"/>
    <w:pPr>
      <w:tabs>
        <w:tab w:val="right" w:leader="dot" w:pos="9360"/>
      </w:tabs>
      <w:ind w:left="1267" w:hanging="1267"/>
    </w:pPr>
    <w:rPr>
      <w:rFonts w:ascii="Arial Narrow" w:hAnsi="Arial Narrow"/>
      <w:sz w:val="22"/>
      <w:szCs w:val="24"/>
    </w:rPr>
  </w:style>
  <w:style w:type="paragraph" w:styleId="TOC2">
    <w:name w:val="toc 2"/>
    <w:autoRedefine/>
    <w:qFormat/>
    <w:rsid w:val="00AE6142"/>
    <w:pPr>
      <w:tabs>
        <w:tab w:val="right" w:leader="dot" w:pos="9360"/>
      </w:tabs>
      <w:spacing w:before="0" w:after="0"/>
      <w:ind w:left="180"/>
    </w:pPr>
    <w:rPr>
      <w:rFonts w:ascii="Arial Narrow" w:hAnsi="Arial Narrow"/>
      <w:sz w:val="22"/>
      <w:szCs w:val="24"/>
    </w:rPr>
  </w:style>
  <w:style w:type="numbering" w:customStyle="1" w:styleId="NNBasicBullets">
    <w:name w:val="NN Basic Bullets"/>
    <w:uiPriority w:val="99"/>
    <w:rsid w:val="00BF7161"/>
    <w:pPr>
      <w:numPr>
        <w:numId w:val="16"/>
      </w:numPr>
    </w:pPr>
  </w:style>
  <w:style w:type="paragraph" w:customStyle="1" w:styleId="NNNumbList">
    <w:name w:val="NN Numb List"/>
    <w:basedOn w:val="NNMainBody"/>
    <w:qFormat/>
    <w:rsid w:val="002A3B78"/>
    <w:pPr>
      <w:numPr>
        <w:numId w:val="31"/>
      </w:numPr>
      <w:spacing w:before="0" w:after="60"/>
    </w:pPr>
  </w:style>
  <w:style w:type="paragraph" w:customStyle="1" w:styleId="NNAppendixHead">
    <w:name w:val="NN Appendix Head"/>
    <w:next w:val="NNMainBody"/>
    <w:rsid w:val="0018023C"/>
    <w:pPr>
      <w:numPr>
        <w:numId w:val="17"/>
      </w:numPr>
      <w:spacing w:line="460" w:lineRule="exact"/>
    </w:pPr>
    <w:rPr>
      <w:rFonts w:ascii="Arial Black" w:eastAsiaTheme="majorEastAsia" w:hAnsi="Arial Black" w:cstheme="majorBidi"/>
      <w:bCs/>
      <w:color w:val="595959" w:themeColor="text1" w:themeTint="A6"/>
      <w:kern w:val="32"/>
      <w:sz w:val="42"/>
      <w:szCs w:val="32"/>
    </w:rPr>
  </w:style>
  <w:style w:type="paragraph" w:customStyle="1" w:styleId="NNTblTextSmall">
    <w:name w:val="NN Tbl Text Small"/>
    <w:basedOn w:val="NNTableText"/>
    <w:qFormat/>
    <w:rsid w:val="006E7654"/>
    <w:rPr>
      <w:sz w:val="18"/>
      <w:szCs w:val="18"/>
    </w:rPr>
  </w:style>
  <w:style w:type="paragraph" w:customStyle="1" w:styleId="NNPRefAddress">
    <w:name w:val="NNP Ref Address"/>
    <w:basedOn w:val="NNPRefBody"/>
    <w:qFormat/>
    <w:rsid w:val="009266FC"/>
    <w:pPr>
      <w:keepNext/>
      <w:keepLines/>
      <w:spacing w:before="0" w:after="0"/>
    </w:pPr>
  </w:style>
  <w:style w:type="paragraph" w:customStyle="1" w:styleId="NNPRefBody">
    <w:name w:val="NNP Ref Body"/>
    <w:basedOn w:val="NNMainBody"/>
    <w:qFormat/>
    <w:rsid w:val="0044633D"/>
  </w:style>
  <w:style w:type="paragraph" w:customStyle="1" w:styleId="NNPRefhead1">
    <w:name w:val="NNP Refhead 1"/>
    <w:basedOn w:val="NNPRefBody"/>
    <w:next w:val="NNPRefAddress"/>
    <w:qFormat/>
    <w:rsid w:val="009266FC"/>
    <w:pPr>
      <w:keepNext/>
      <w:keepLines/>
      <w:pBdr>
        <w:bottom w:val="single" w:sz="4" w:space="1" w:color="auto"/>
      </w:pBdr>
      <w:tabs>
        <w:tab w:val="right" w:pos="9504"/>
      </w:tabs>
      <w:spacing w:after="60"/>
    </w:pPr>
    <w:rPr>
      <w:b/>
    </w:rPr>
  </w:style>
  <w:style w:type="paragraph" w:customStyle="1" w:styleId="NNPRefhead2">
    <w:name w:val="NNP Refhead 2"/>
    <w:basedOn w:val="NNPRefAddress"/>
    <w:qFormat/>
    <w:rsid w:val="00E52C77"/>
    <w:pPr>
      <w:pBdr>
        <w:bottom w:val="single" w:sz="4" w:space="1" w:color="auto"/>
      </w:pBdr>
      <w:ind w:left="990" w:hanging="990"/>
    </w:pPr>
    <w:rPr>
      <w:i/>
    </w:rPr>
  </w:style>
  <w:style w:type="paragraph" w:customStyle="1" w:styleId="NNPSubtask">
    <w:name w:val="NNP Subtask"/>
    <w:basedOn w:val="NN04"/>
    <w:next w:val="NNMainBody"/>
    <w:qFormat/>
    <w:rsid w:val="009266FC"/>
    <w:pPr>
      <w:ind w:left="1627" w:hanging="1627"/>
    </w:pPr>
  </w:style>
  <w:style w:type="paragraph" w:customStyle="1" w:styleId="NNPTask">
    <w:name w:val="NNP Task"/>
    <w:basedOn w:val="NN03"/>
    <w:next w:val="NNMainBody"/>
    <w:qFormat/>
    <w:rsid w:val="009266FC"/>
    <w:pPr>
      <w:pBdr>
        <w:bottom w:val="single" w:sz="4" w:space="1" w:color="auto"/>
      </w:pBdr>
      <w:ind w:left="1267" w:hanging="1267"/>
    </w:pPr>
  </w:style>
  <w:style w:type="paragraph" w:customStyle="1" w:styleId="NNMAddress">
    <w:name w:val="NNM Address"/>
    <w:semiHidden/>
    <w:qFormat/>
    <w:rsid w:val="00C35B74"/>
    <w:pPr>
      <w:jc w:val="right"/>
    </w:pPr>
    <w:rPr>
      <w:rFonts w:ascii="Arial" w:hAnsi="Arial"/>
      <w:b/>
      <w:sz w:val="22"/>
      <w:szCs w:val="24"/>
    </w:rPr>
  </w:style>
  <w:style w:type="paragraph" w:customStyle="1" w:styleId="NNMFTitle">
    <w:name w:val="NNMF Title"/>
    <w:semiHidden/>
    <w:qFormat/>
    <w:rsid w:val="00D26887"/>
    <w:rPr>
      <w:rFonts w:ascii="Arial Black" w:hAnsi="Arial Black"/>
      <w:sz w:val="42"/>
      <w:szCs w:val="42"/>
    </w:rPr>
  </w:style>
  <w:style w:type="paragraph" w:customStyle="1" w:styleId="NNMFTo-From">
    <w:name w:val="NNMF To-From"/>
    <w:basedOn w:val="NNMainBody"/>
    <w:semiHidden/>
    <w:rsid w:val="00BB66C4"/>
    <w:pPr>
      <w:spacing w:before="60" w:after="60"/>
    </w:pPr>
    <w:rPr>
      <w:b/>
      <w:sz w:val="24"/>
    </w:rPr>
  </w:style>
  <w:style w:type="paragraph" w:customStyle="1" w:styleId="NNBullets2">
    <w:name w:val="NN Bullets 2"/>
    <w:basedOn w:val="NNBullets"/>
    <w:rsid w:val="00496A01"/>
    <w:pPr>
      <w:numPr>
        <w:ilvl w:val="1"/>
      </w:numPr>
      <w:tabs>
        <w:tab w:val="clear" w:pos="2880"/>
      </w:tabs>
      <w:ind w:left="1080"/>
    </w:pPr>
  </w:style>
  <w:style w:type="paragraph" w:customStyle="1" w:styleId="NNBullets3">
    <w:name w:val="NN Bullets 3"/>
    <w:basedOn w:val="NNBullets2"/>
    <w:rsid w:val="00496A01"/>
    <w:pPr>
      <w:numPr>
        <w:ilvl w:val="2"/>
      </w:numPr>
      <w:tabs>
        <w:tab w:val="clear" w:pos="3240"/>
      </w:tabs>
      <w:ind w:left="1440"/>
    </w:pPr>
  </w:style>
  <w:style w:type="paragraph" w:customStyle="1" w:styleId="NNBullets4">
    <w:name w:val="NN Bullets 4"/>
    <w:basedOn w:val="NNBullets3"/>
    <w:rsid w:val="00496A01"/>
    <w:pPr>
      <w:numPr>
        <w:ilvl w:val="3"/>
      </w:numPr>
      <w:ind w:left="1800"/>
    </w:pPr>
  </w:style>
  <w:style w:type="numbering" w:customStyle="1" w:styleId="NNBulletListLast">
    <w:name w:val="NN Bullet List Last"/>
    <w:uiPriority w:val="99"/>
    <w:rsid w:val="00292C79"/>
    <w:pPr>
      <w:numPr>
        <w:numId w:val="26"/>
      </w:numPr>
    </w:pPr>
  </w:style>
  <w:style w:type="paragraph" w:customStyle="1" w:styleId="NNPDeliverable">
    <w:name w:val="NNP Deliverable"/>
    <w:basedOn w:val="NNMainBody"/>
    <w:qFormat/>
    <w:rsid w:val="00F3677D"/>
    <w:pPr>
      <w:pBdr>
        <w:top w:val="single" w:sz="4" w:space="4" w:color="auto" w:shadow="1"/>
        <w:left w:val="single" w:sz="4" w:space="4" w:color="auto" w:shadow="1"/>
        <w:bottom w:val="single" w:sz="4" w:space="4" w:color="auto" w:shadow="1"/>
        <w:right w:val="single" w:sz="4" w:space="4" w:color="auto" w:shadow="1"/>
      </w:pBdr>
      <w:ind w:left="1710" w:hanging="1710"/>
    </w:p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141E62"/>
    <w:pPr>
      <w:numPr>
        <w:ilvl w:val="3"/>
      </w:numPr>
      <w:ind w:left="1530" w:hanging="450"/>
    </w:pPr>
  </w:style>
  <w:style w:type="paragraph" w:customStyle="1" w:styleId="NNSidebarText">
    <w:name w:val="NN Sidebar Text"/>
    <w:qFormat/>
    <w:rsid w:val="00BD67A7"/>
    <w:pPr>
      <w:pBdr>
        <w:top w:val="single" w:sz="8" w:space="10" w:color="FFFFFF" w:themeColor="background1"/>
        <w:bottom w:val="single" w:sz="8" w:space="10" w:color="FFFFFF" w:themeColor="background1"/>
      </w:pBdr>
      <w:jc w:val="center"/>
    </w:pPr>
    <w:rPr>
      <w:rFonts w:ascii="Arial Narrow" w:hAnsi="Arial Narrow"/>
      <w:i/>
      <w:iCs/>
      <w:sz w:val="24"/>
      <w:szCs w:val="24"/>
    </w:rPr>
  </w:style>
  <w:style w:type="character" w:styleId="PageNumber">
    <w:name w:val="page number"/>
    <w:basedOn w:val="DefaultParagraphFont"/>
    <w:semiHidden/>
    <w:rsid w:val="00BD67A7"/>
  </w:style>
  <w:style w:type="paragraph" w:customStyle="1" w:styleId="NNH-RptName">
    <w:name w:val="NN H-Rpt Name"/>
    <w:basedOn w:val="Normal"/>
    <w:semiHidden/>
    <w:rsid w:val="00BD67A7"/>
    <w:pPr>
      <w:keepLines/>
      <w:pBdr>
        <w:bottom w:val="single" w:sz="8" w:space="1" w:color="C0C0C0"/>
      </w:pBdr>
      <w:tabs>
        <w:tab w:val="center" w:pos="4320"/>
        <w:tab w:val="right" w:pos="8640"/>
      </w:tabs>
      <w:jc w:val="both"/>
    </w:pPr>
    <w:rPr>
      <w:rFonts w:ascii="Arial Black" w:hAnsi="Arial Black"/>
      <w:spacing w:val="60"/>
      <w:sz w:val="18"/>
      <w:szCs w:val="20"/>
    </w:rPr>
  </w:style>
  <w:style w:type="paragraph" w:customStyle="1" w:styleId="NNH-CltName">
    <w:name w:val="NN H-Clt Name"/>
    <w:basedOn w:val="Normal"/>
    <w:semiHidden/>
    <w:rsid w:val="00BD67A7"/>
    <w:pPr>
      <w:tabs>
        <w:tab w:val="center" w:pos="4320"/>
        <w:tab w:val="right" w:pos="8640"/>
      </w:tabs>
      <w:spacing w:before="60"/>
      <w:jc w:val="both"/>
    </w:pPr>
    <w:rPr>
      <w:rFonts w:ascii="Arial Narrow" w:hAnsi="Arial Narrow"/>
      <w:b/>
      <w:caps/>
      <w:color w:val="808080"/>
      <w:spacing w:val="60"/>
      <w:sz w:val="16"/>
      <w:szCs w:val="20"/>
    </w:rPr>
  </w:style>
  <w:style w:type="paragraph" w:customStyle="1" w:styleId="NNFooter">
    <w:name w:val="NN Footer"/>
    <w:basedOn w:val="Normal"/>
    <w:rsid w:val="00BD67A7"/>
    <w:pPr>
      <w:keepLines/>
      <w:pBdr>
        <w:top w:val="single" w:sz="6" w:space="3" w:color="auto"/>
      </w:pBdr>
      <w:tabs>
        <w:tab w:val="center" w:pos="4320"/>
        <w:tab w:val="right" w:pos="8640"/>
      </w:tabs>
      <w:spacing w:before="360"/>
      <w:jc w:val="right"/>
    </w:pPr>
    <w:rPr>
      <w:rFonts w:ascii="Arial Black" w:hAnsi="Arial Black"/>
      <w:color w:val="000000"/>
      <w:sz w:val="16"/>
      <w:szCs w:val="20"/>
    </w:rPr>
  </w:style>
  <w:style w:type="table" w:styleId="TableContemporary">
    <w:name w:val="Table Contemporary"/>
    <w:basedOn w:val="TableNormal"/>
    <w:rsid w:val="006E3C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semiHidden/>
    <w:unhideWhenUsed/>
    <w:rsid w:val="00141E62"/>
    <w:pPr>
      <w:ind w:left="360"/>
    </w:pPr>
  </w:style>
  <w:style w:type="paragraph" w:customStyle="1" w:styleId="NNTblHeaderSmall">
    <w:name w:val="NN Tbl Header Small"/>
    <w:basedOn w:val="NNTableHeader"/>
    <w:qFormat/>
    <w:rsid w:val="006E7654"/>
    <w:rPr>
      <w:sz w:val="18"/>
    </w:rPr>
  </w:style>
  <w:style w:type="paragraph" w:customStyle="1" w:styleId="NNTblSubheaderSmall">
    <w:name w:val="NN Tbl Subheader Small"/>
    <w:basedOn w:val="NNTableSubheader"/>
    <w:qFormat/>
    <w:rsid w:val="006E7654"/>
    <w:rPr>
      <w:sz w:val="18"/>
    </w:rPr>
  </w:style>
  <w:style w:type="paragraph" w:customStyle="1" w:styleId="NNPhotoCaption">
    <w:name w:val="NN Photo Caption"/>
    <w:basedOn w:val="NNMainBody"/>
    <w:next w:val="NNSource"/>
    <w:qFormat/>
    <w:rsid w:val="009A729F"/>
    <w:pPr>
      <w:spacing w:after="0"/>
    </w:pPr>
    <w:rPr>
      <w:sz w:val="18"/>
      <w:szCs w:val="18"/>
    </w:rPr>
  </w:style>
  <w:style w:type="character" w:styleId="PlaceholderText">
    <w:name w:val="Placeholder Text"/>
    <w:basedOn w:val="DefaultParagraphFont"/>
    <w:uiPriority w:val="99"/>
    <w:unhideWhenUsed/>
    <w:rsid w:val="004415F2"/>
    <w:rPr>
      <w:color w:val="808080"/>
    </w:rPr>
  </w:style>
  <w:style w:type="paragraph" w:customStyle="1" w:styleId="NNAppendixCov1">
    <w:name w:val="NN Appendix Cov 1"/>
    <w:basedOn w:val="Header"/>
    <w:next w:val="NNAppendixCov2"/>
    <w:rsid w:val="000F1C2E"/>
    <w:pPr>
      <w:pBdr>
        <w:bottom w:val="single" w:sz="4" w:space="1" w:color="auto"/>
      </w:pBdr>
      <w:tabs>
        <w:tab w:val="clear" w:pos="4680"/>
        <w:tab w:val="clear" w:pos="9360"/>
        <w:tab w:val="left" w:pos="1890"/>
      </w:tabs>
      <w:spacing w:before="5760" w:after="0"/>
      <w:ind w:left="720"/>
    </w:pPr>
    <w:rPr>
      <w:rFonts w:ascii="Arial Black" w:hAnsi="Arial Black"/>
      <w:smallCaps/>
      <w:sz w:val="56"/>
      <w:szCs w:val="20"/>
    </w:rPr>
  </w:style>
  <w:style w:type="paragraph" w:customStyle="1" w:styleId="NNAppendixCov2">
    <w:name w:val="NN Appendix Cov 2"/>
    <w:basedOn w:val="Header"/>
    <w:rsid w:val="000F1C2E"/>
    <w:pPr>
      <w:tabs>
        <w:tab w:val="clear" w:pos="4680"/>
        <w:tab w:val="clear" w:pos="9360"/>
        <w:tab w:val="left" w:pos="1890"/>
      </w:tabs>
      <w:spacing w:before="0" w:after="0"/>
      <w:ind w:left="720"/>
    </w:pPr>
    <w:rPr>
      <w:rFonts w:ascii="Arial Narrow" w:hAnsi="Arial Narrow"/>
      <w:smallCaps/>
      <w:sz w:val="52"/>
      <w:szCs w:val="20"/>
    </w:rPr>
  </w:style>
  <w:style w:type="paragraph" w:customStyle="1" w:styleId="NNTableBullet">
    <w:name w:val="NN Table Bullet"/>
    <w:basedOn w:val="NNBullets"/>
    <w:qFormat/>
    <w:rsid w:val="001F390C"/>
    <w:pPr>
      <w:ind w:left="360"/>
    </w:pPr>
    <w:rPr>
      <w:rFonts w:ascii="Arial Narrow" w:hAnsi="Arial Narrow"/>
    </w:rPr>
  </w:style>
  <w:style w:type="paragraph" w:customStyle="1" w:styleId="NNTableBulletSmall">
    <w:name w:val="NN Table Bullet Small"/>
    <w:basedOn w:val="NNTableBullet"/>
    <w:qFormat/>
    <w:rsid w:val="002A3B78"/>
    <w:pPr>
      <w:ind w:left="187" w:hanging="187"/>
    </w:pPr>
    <w:rPr>
      <w:sz w:val="18"/>
      <w:szCs w:val="18"/>
    </w:rPr>
  </w:style>
  <w:style w:type="paragraph" w:customStyle="1" w:styleId="NNTableBullet2">
    <w:name w:val="NN Table Bullet 2"/>
    <w:basedOn w:val="NNBullets2"/>
    <w:qFormat/>
    <w:rsid w:val="002A3B78"/>
    <w:pPr>
      <w:ind w:left="720"/>
    </w:pPr>
    <w:rPr>
      <w:rFonts w:ascii="Arial Narrow" w:hAnsi="Arial Narrow"/>
    </w:rPr>
  </w:style>
  <w:style w:type="paragraph" w:customStyle="1" w:styleId="NNTableBulletSmall2">
    <w:name w:val="NN Table Bullet Small 2"/>
    <w:basedOn w:val="NNTableBullet2"/>
    <w:qFormat/>
    <w:rsid w:val="002A3B78"/>
    <w:pPr>
      <w:ind w:left="547" w:hanging="187"/>
    </w:pPr>
    <w:rPr>
      <w:sz w:val="18"/>
      <w:szCs w:val="18"/>
    </w:rPr>
  </w:style>
  <w:style w:type="character" w:customStyle="1" w:styleId="NNMainBodyChar">
    <w:name w:val="NN Main Body Char"/>
    <w:basedOn w:val="DefaultParagraphFont"/>
    <w:link w:val="NNMainBody"/>
    <w:rsid w:val="005123BD"/>
    <w:rPr>
      <w:rFonts w:ascii="Arial" w:hAnsi="Arial"/>
      <w:sz w:val="22"/>
      <w:szCs w:val="24"/>
    </w:rPr>
  </w:style>
  <w:style w:type="character" w:styleId="Hyperlink">
    <w:name w:val="Hyperlink"/>
    <w:basedOn w:val="DefaultParagraphFont"/>
    <w:unhideWhenUsed/>
    <w:rsid w:val="005123BD"/>
    <w:rPr>
      <w:color w:val="0000FF" w:themeColor="hyperlink"/>
      <w:u w:val="single"/>
    </w:rPr>
  </w:style>
  <w:style w:type="character" w:customStyle="1" w:styleId="NNMainBodyChar1">
    <w:name w:val="NN Main Body Char1"/>
    <w:basedOn w:val="DefaultParagraphFont"/>
    <w:rsid w:val="005123BD"/>
    <w:rPr>
      <w:rFonts w:ascii="Arial" w:hAnsi="Arial"/>
      <w:sz w:val="22"/>
      <w:szCs w:val="24"/>
    </w:rPr>
  </w:style>
  <w:style w:type="character" w:customStyle="1" w:styleId="NNBulletsChar">
    <w:name w:val="NN Bullets Char"/>
    <w:basedOn w:val="DefaultParagraphFont"/>
    <w:link w:val="NNBullets"/>
    <w:rsid w:val="005123BD"/>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getdown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D0E8-9EF1-4D68-B85E-0E3156C9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jschrieber</dc:creator>
  <cp:lastModifiedBy>jschrieber</cp:lastModifiedBy>
  <cp:revision>2</cp:revision>
  <cp:lastPrinted>2010-09-29T15:21:00Z</cp:lastPrinted>
  <dcterms:created xsi:type="dcterms:W3CDTF">2011-06-02T13:41:00Z</dcterms:created>
  <dcterms:modified xsi:type="dcterms:W3CDTF">2011-06-02T13:41:00Z</dcterms:modified>
</cp:coreProperties>
</file>